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B13409">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3C607D" w:rsidP="000010A7">
      <w:pPr>
        <w:jc w:val="center"/>
        <w:rPr>
          <w:b/>
          <w:color w:val="548DD4" w:themeColor="text2" w:themeTint="99"/>
          <w:sz w:val="24"/>
          <w:szCs w:val="24"/>
        </w:rPr>
      </w:pPr>
      <w:r>
        <w:rPr>
          <w:b/>
          <w:color w:val="548DD4" w:themeColor="text2" w:themeTint="99"/>
          <w:sz w:val="24"/>
          <w:szCs w:val="24"/>
        </w:rPr>
        <w:t>APRIL</w:t>
      </w:r>
      <w:r w:rsidR="000010A7">
        <w:rPr>
          <w:b/>
          <w:color w:val="548DD4" w:themeColor="text2" w:themeTint="99"/>
          <w:sz w:val="24"/>
          <w:szCs w:val="24"/>
        </w:rPr>
        <w:t xml:space="preserve"> 2014</w:t>
      </w:r>
    </w:p>
    <w:p w:rsidR="00A77030" w:rsidRDefault="00A77030" w:rsidP="000010A7">
      <w:pPr>
        <w:pStyle w:val="NoSpacing"/>
        <w:rPr>
          <w:rFonts w:ascii="Times New Roman" w:hAnsi="Times New Roman" w:cs="Times New Roman"/>
          <w:b/>
          <w:sz w:val="24"/>
          <w:szCs w:val="24"/>
        </w:rPr>
      </w:pPr>
    </w:p>
    <w:p w:rsidR="00A77030" w:rsidRDefault="00A77030" w:rsidP="000010A7">
      <w:pPr>
        <w:pStyle w:val="NoSpacing"/>
        <w:rPr>
          <w:rFonts w:ascii="Times New Roman" w:hAnsi="Times New Roman" w:cs="Times New Roman"/>
          <w:b/>
          <w:sz w:val="24"/>
          <w:szCs w:val="24"/>
        </w:rPr>
      </w:pPr>
    </w:p>
    <w:p w:rsidR="000010A7" w:rsidRDefault="000010A7" w:rsidP="000010A7">
      <w:pPr>
        <w:pStyle w:val="NoSpacing"/>
        <w:rPr>
          <w:rFonts w:ascii="Times New Roman" w:hAnsi="Times New Roman" w:cs="Times New Roman"/>
          <w:b/>
          <w:sz w:val="24"/>
          <w:szCs w:val="24"/>
        </w:rPr>
      </w:pPr>
      <w:r>
        <w:rPr>
          <w:rFonts w:ascii="Times New Roman" w:hAnsi="Times New Roman" w:cs="Times New Roman"/>
          <w:b/>
          <w:sz w:val="24"/>
          <w:szCs w:val="24"/>
        </w:rPr>
        <w:t>DISCRIMINATION</w:t>
      </w:r>
    </w:p>
    <w:p w:rsidR="00E34240" w:rsidRDefault="00E34240" w:rsidP="000010A7">
      <w:pPr>
        <w:pStyle w:val="NoSpacing"/>
        <w:rPr>
          <w:rFonts w:ascii="Times New Roman" w:hAnsi="Times New Roman" w:cs="Times New Roman"/>
          <w:b/>
          <w:sz w:val="24"/>
          <w:szCs w:val="24"/>
        </w:rPr>
      </w:pPr>
    </w:p>
    <w:p w:rsidR="000010A7" w:rsidRPr="000010A7" w:rsidRDefault="000010A7" w:rsidP="000010A7">
      <w:pPr>
        <w:pStyle w:val="NoSpacing"/>
        <w:rPr>
          <w:rFonts w:ascii="Times New Roman" w:hAnsi="Times New Roman" w:cs="Times New Roman"/>
          <w:sz w:val="24"/>
          <w:szCs w:val="24"/>
        </w:rPr>
      </w:pPr>
      <w:r w:rsidRPr="000010A7">
        <w:rPr>
          <w:rFonts w:ascii="Times New Roman" w:hAnsi="Times New Roman" w:cs="Times New Roman"/>
          <w:sz w:val="24"/>
          <w:szCs w:val="24"/>
        </w:rPr>
        <w:t>Federal Circuit Courts</w:t>
      </w:r>
    </w:p>
    <w:p w:rsidR="000010A7" w:rsidRPr="000010A7" w:rsidRDefault="000010A7" w:rsidP="000010A7">
      <w:pPr>
        <w:pStyle w:val="NoSpacing"/>
        <w:rPr>
          <w:rFonts w:ascii="Times New Roman" w:hAnsi="Times New Roman" w:cs="Times New Roman"/>
          <w:sz w:val="24"/>
          <w:szCs w:val="24"/>
        </w:rPr>
      </w:pPr>
    </w:p>
    <w:p w:rsidR="000010A7" w:rsidRPr="00A43BB8" w:rsidRDefault="009F3C16" w:rsidP="000010A7">
      <w:pPr>
        <w:pStyle w:val="NoSpacing"/>
        <w:rPr>
          <w:rFonts w:ascii="Times New Roman" w:hAnsi="Times New Roman" w:cs="Times New Roman"/>
          <w:sz w:val="24"/>
          <w:szCs w:val="24"/>
        </w:rPr>
      </w:pPr>
      <w:r>
        <w:rPr>
          <w:rFonts w:ascii="Times New Roman" w:hAnsi="Times New Roman" w:cs="Times New Roman"/>
          <w:i/>
          <w:sz w:val="24"/>
          <w:szCs w:val="24"/>
          <w:u w:val="single"/>
        </w:rPr>
        <w:t xml:space="preserve">Bass </w:t>
      </w:r>
      <w:r w:rsidR="00A43BB8"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Joliet Public School District No. 86</w:t>
      </w:r>
      <w:r w:rsidR="00A43BB8">
        <w:rPr>
          <w:rFonts w:ascii="Times New Roman" w:hAnsi="Times New Roman" w:cs="Times New Roman"/>
          <w:sz w:val="24"/>
          <w:szCs w:val="24"/>
        </w:rPr>
        <w:t>, (</w:t>
      </w:r>
      <w:r>
        <w:rPr>
          <w:rFonts w:ascii="Times New Roman" w:hAnsi="Times New Roman" w:cs="Times New Roman"/>
          <w:sz w:val="24"/>
          <w:szCs w:val="24"/>
        </w:rPr>
        <w:t>7</w:t>
      </w:r>
      <w:r w:rsidRPr="009F3C16">
        <w:rPr>
          <w:rFonts w:ascii="Times New Roman" w:hAnsi="Times New Roman" w:cs="Times New Roman"/>
          <w:sz w:val="24"/>
          <w:szCs w:val="24"/>
          <w:vertAlign w:val="superscript"/>
        </w:rPr>
        <w:t>th</w:t>
      </w:r>
      <w:r>
        <w:rPr>
          <w:rFonts w:ascii="Times New Roman" w:hAnsi="Times New Roman" w:cs="Times New Roman"/>
          <w:sz w:val="24"/>
          <w:szCs w:val="24"/>
        </w:rPr>
        <w:t xml:space="preserve"> Circuit March</w:t>
      </w:r>
      <w:r w:rsidR="00A43BB8">
        <w:rPr>
          <w:rFonts w:ascii="Times New Roman" w:hAnsi="Times New Roman" w:cs="Times New Roman"/>
          <w:sz w:val="24"/>
          <w:szCs w:val="24"/>
        </w:rPr>
        <w:t xml:space="preserve"> </w:t>
      </w:r>
      <w:r>
        <w:rPr>
          <w:rFonts w:ascii="Times New Roman" w:hAnsi="Times New Roman" w:cs="Times New Roman"/>
          <w:sz w:val="24"/>
          <w:szCs w:val="24"/>
        </w:rPr>
        <w:t>26</w:t>
      </w:r>
      <w:r w:rsidR="00A43BB8">
        <w:rPr>
          <w:rFonts w:ascii="Times New Roman" w:hAnsi="Times New Roman" w:cs="Times New Roman"/>
          <w:sz w:val="24"/>
          <w:szCs w:val="24"/>
        </w:rPr>
        <w:t>, 2014)</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t>Plaintiff</w:t>
      </w:r>
      <w:r w:rsidR="009F3C16">
        <w:rPr>
          <w:rFonts w:ascii="Times New Roman" w:hAnsi="Times New Roman" w:cs="Times New Roman"/>
          <w:sz w:val="24"/>
          <w:szCs w:val="24"/>
        </w:rPr>
        <w:t xml:space="preserve"> worked the second shift as a custodian for </w:t>
      </w:r>
      <w:r w:rsidR="001D2DEF">
        <w:rPr>
          <w:rFonts w:ascii="Times New Roman" w:hAnsi="Times New Roman" w:cs="Times New Roman"/>
          <w:sz w:val="24"/>
          <w:szCs w:val="24"/>
        </w:rPr>
        <w:t xml:space="preserve">the </w:t>
      </w:r>
      <w:r w:rsidR="009F3C16">
        <w:rPr>
          <w:rFonts w:ascii="Times New Roman" w:hAnsi="Times New Roman" w:cs="Times New Roman"/>
          <w:sz w:val="24"/>
          <w:szCs w:val="24"/>
        </w:rPr>
        <w:t>school district</w:t>
      </w:r>
      <w:r w:rsidR="00A43BB8">
        <w:rPr>
          <w:rFonts w:ascii="Times New Roman" w:hAnsi="Times New Roman" w:cs="Times New Roman"/>
          <w:sz w:val="24"/>
          <w:szCs w:val="24"/>
        </w:rPr>
        <w:t xml:space="preserve">.  </w:t>
      </w:r>
      <w:r w:rsidR="009F3C16">
        <w:rPr>
          <w:rFonts w:ascii="Times New Roman" w:hAnsi="Times New Roman" w:cs="Times New Roman"/>
          <w:sz w:val="24"/>
          <w:szCs w:val="24"/>
        </w:rPr>
        <w:t xml:space="preserve">Due to growth at the school, a second floor was added to the school.  A second employee was added to second shift and Plaintiff continued to be responsible for the first floor cleaning while the second employee was responsible for the new floor.  Several years later, a consultant was hired to evaluate various custodial tasks and make recommendations on how to improve efficiency.  The consultant determined that the tasks associated with the new floor took more time to complete than those tasks on the first floor.  As such, certain tasks for the second floor were assigned to Plaintiff.  Plaintiff complained that the reallocation of work was unfair.  About this time, Plaintiff also started having performance issues which led to two suspensions without pay.  Plaintiff did not contest the suspensions and admitted not having completed all of her assigned cleaning duties.  Prior to her termination, Plaintiff had taken all of her allocated leaves of absences.  Due to an injury on the job, she sought an additional leave.  She was told that her leave had been exhausted and if she failed to report to work, she would be terminated.  When she failed to report to work, she was terminated.  Plaintiff subsequently filed a claim for sex discrimination. </w:t>
      </w:r>
      <w:r>
        <w:rPr>
          <w:rFonts w:ascii="Times New Roman" w:hAnsi="Times New Roman" w:cs="Times New Roman"/>
          <w:sz w:val="24"/>
          <w:szCs w:val="24"/>
        </w:rPr>
        <w:t xml:space="preserve"> </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9F3C16">
        <w:rPr>
          <w:rFonts w:ascii="Times New Roman" w:hAnsi="Times New Roman" w:cs="Times New Roman"/>
          <w:sz w:val="24"/>
          <w:szCs w:val="24"/>
        </w:rPr>
        <w:t>Initially, the C</w:t>
      </w:r>
      <w:r w:rsidR="0046045B">
        <w:rPr>
          <w:rFonts w:ascii="Times New Roman" w:hAnsi="Times New Roman" w:cs="Times New Roman"/>
          <w:sz w:val="24"/>
          <w:szCs w:val="24"/>
        </w:rPr>
        <w:t xml:space="preserve">ourt </w:t>
      </w:r>
      <w:r w:rsidR="009F3C16">
        <w:rPr>
          <w:rFonts w:ascii="Times New Roman" w:hAnsi="Times New Roman" w:cs="Times New Roman"/>
          <w:sz w:val="24"/>
          <w:szCs w:val="24"/>
        </w:rPr>
        <w:t>found that any claim based on the original reassignment of work was time-barred because the Complaint was filed in excess of 300 days from the date the reassignments took place.  The</w:t>
      </w:r>
      <w:r w:rsidR="0046045B">
        <w:rPr>
          <w:rFonts w:ascii="Times New Roman" w:hAnsi="Times New Roman" w:cs="Times New Roman"/>
          <w:sz w:val="24"/>
          <w:szCs w:val="24"/>
        </w:rPr>
        <w:t xml:space="preserve"> </w:t>
      </w:r>
      <w:r w:rsidR="009F3C16">
        <w:rPr>
          <w:rFonts w:ascii="Times New Roman" w:hAnsi="Times New Roman" w:cs="Times New Roman"/>
          <w:sz w:val="24"/>
          <w:szCs w:val="24"/>
        </w:rPr>
        <w:t xml:space="preserve">Court rejected her claim that the school district’s conduct constituted </w:t>
      </w:r>
      <w:r w:rsidR="001D2DEF">
        <w:rPr>
          <w:rFonts w:ascii="Times New Roman" w:hAnsi="Times New Roman" w:cs="Times New Roman"/>
          <w:sz w:val="24"/>
          <w:szCs w:val="24"/>
        </w:rPr>
        <w:t>“</w:t>
      </w:r>
      <w:r w:rsidR="009F3C16">
        <w:rPr>
          <w:rFonts w:ascii="Times New Roman" w:hAnsi="Times New Roman" w:cs="Times New Roman"/>
          <w:sz w:val="24"/>
          <w:szCs w:val="24"/>
        </w:rPr>
        <w:t>continuous harm</w:t>
      </w:r>
      <w:r w:rsidR="001D2DEF">
        <w:rPr>
          <w:rFonts w:ascii="Times New Roman" w:hAnsi="Times New Roman" w:cs="Times New Roman"/>
          <w:sz w:val="24"/>
          <w:szCs w:val="24"/>
        </w:rPr>
        <w:t>”</w:t>
      </w:r>
      <w:r w:rsidR="009F3C16">
        <w:rPr>
          <w:rFonts w:ascii="Times New Roman" w:hAnsi="Times New Roman" w:cs="Times New Roman"/>
          <w:sz w:val="24"/>
          <w:szCs w:val="24"/>
        </w:rPr>
        <w:t xml:space="preserve">.  The reassignment of duties is a discrete and separate act, triggering the 300 days filing period.  A “new violation” does not occur each day the reassignment remains in effect. </w:t>
      </w:r>
      <w:r w:rsidR="0046045B">
        <w:rPr>
          <w:rFonts w:ascii="Times New Roman" w:hAnsi="Times New Roman" w:cs="Times New Roman"/>
          <w:sz w:val="24"/>
          <w:szCs w:val="24"/>
        </w:rPr>
        <w:t xml:space="preserve"> </w:t>
      </w:r>
    </w:p>
    <w:p w:rsidR="009F3C16" w:rsidRDefault="009F3C16" w:rsidP="000010A7">
      <w:pPr>
        <w:pStyle w:val="NoSpacing"/>
        <w:ind w:left="1260" w:hanging="1260"/>
        <w:rPr>
          <w:rFonts w:ascii="Times New Roman" w:hAnsi="Times New Roman" w:cs="Times New Roman"/>
          <w:sz w:val="24"/>
          <w:szCs w:val="24"/>
        </w:rPr>
      </w:pPr>
    </w:p>
    <w:p w:rsidR="009F3C16" w:rsidRDefault="009F3C16"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r w:rsidR="00A77030">
        <w:rPr>
          <w:rFonts w:ascii="Times New Roman" w:hAnsi="Times New Roman" w:cs="Times New Roman"/>
          <w:sz w:val="24"/>
          <w:szCs w:val="24"/>
        </w:rPr>
        <w:t xml:space="preserve">Moreover, the reassignments were based on a legitimate non-discriminatory reason---the </w:t>
      </w:r>
      <w:proofErr w:type="spellStart"/>
      <w:r w:rsidR="00A77030">
        <w:rPr>
          <w:rFonts w:ascii="Times New Roman" w:hAnsi="Times New Roman" w:cs="Times New Roman"/>
          <w:sz w:val="24"/>
          <w:szCs w:val="24"/>
        </w:rPr>
        <w:t>consultants</w:t>
      </w:r>
      <w:proofErr w:type="spellEnd"/>
      <w:r w:rsidR="00A77030">
        <w:rPr>
          <w:rFonts w:ascii="Times New Roman" w:hAnsi="Times New Roman" w:cs="Times New Roman"/>
          <w:sz w:val="24"/>
          <w:szCs w:val="24"/>
        </w:rPr>
        <w:t xml:space="preserve"> report</w:t>
      </w:r>
      <w:r w:rsidR="001D2DEF">
        <w:rPr>
          <w:rFonts w:ascii="Times New Roman" w:hAnsi="Times New Roman" w:cs="Times New Roman"/>
          <w:sz w:val="24"/>
          <w:szCs w:val="24"/>
        </w:rPr>
        <w:t xml:space="preserve">. </w:t>
      </w:r>
      <w:r w:rsidR="00A77030">
        <w:rPr>
          <w:rFonts w:ascii="Times New Roman" w:hAnsi="Times New Roman" w:cs="Times New Roman"/>
          <w:sz w:val="24"/>
          <w:szCs w:val="24"/>
        </w:rPr>
        <w:t xml:space="preserve"> Plaintiff failed to present any evidence to suggest that legitimate business reason was </w:t>
      </w:r>
      <w:proofErr w:type="spellStart"/>
      <w:r w:rsidR="00A77030">
        <w:rPr>
          <w:rFonts w:ascii="Times New Roman" w:hAnsi="Times New Roman" w:cs="Times New Roman"/>
          <w:sz w:val="24"/>
          <w:szCs w:val="24"/>
        </w:rPr>
        <w:t>pretextual</w:t>
      </w:r>
      <w:proofErr w:type="spellEnd"/>
      <w:r w:rsidR="00A77030">
        <w:rPr>
          <w:rFonts w:ascii="Times New Roman" w:hAnsi="Times New Roman" w:cs="Times New Roman"/>
          <w:sz w:val="24"/>
          <w:szCs w:val="24"/>
        </w:rPr>
        <w:t xml:space="preserve">.  Plaintiff also failed to present any evidence that her termination was due to her being a woman.  Plaintiff bears the burden of presenting some evidence that would allow a rational jury to infer </w:t>
      </w:r>
      <w:r w:rsidR="00A77030">
        <w:rPr>
          <w:rFonts w:ascii="Times New Roman" w:hAnsi="Times New Roman" w:cs="Times New Roman"/>
          <w:sz w:val="24"/>
          <w:szCs w:val="24"/>
        </w:rPr>
        <w:lastRenderedPageBreak/>
        <w:t>intentional discrimination (direct method).  Under the indirect method, she failed to present evidence that she ha</w:t>
      </w:r>
      <w:r w:rsidR="001D2DEF">
        <w:rPr>
          <w:rFonts w:ascii="Times New Roman" w:hAnsi="Times New Roman" w:cs="Times New Roman"/>
          <w:sz w:val="24"/>
          <w:szCs w:val="24"/>
        </w:rPr>
        <w:t>d</w:t>
      </w:r>
      <w:r w:rsidR="00A77030">
        <w:rPr>
          <w:rFonts w:ascii="Times New Roman" w:hAnsi="Times New Roman" w:cs="Times New Roman"/>
          <w:sz w:val="24"/>
          <w:szCs w:val="24"/>
        </w:rPr>
        <w:t xml:space="preserve"> been performing her job satisfactorily and further failed to present evidence that similarly situated male employees were treated differently.  </w:t>
      </w:r>
    </w:p>
    <w:p w:rsidR="000010A7" w:rsidRDefault="000010A7" w:rsidP="000010A7">
      <w:pPr>
        <w:pStyle w:val="NoSpacing"/>
        <w:ind w:left="1260" w:hanging="1260"/>
        <w:rPr>
          <w:rFonts w:ascii="Times New Roman" w:hAnsi="Times New Roman" w:cs="Times New Roman"/>
          <w:sz w:val="24"/>
          <w:szCs w:val="24"/>
        </w:rPr>
      </w:pPr>
    </w:p>
    <w:p w:rsidR="005C49C9" w:rsidRDefault="00A77030"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PENSIONS</w:t>
      </w:r>
    </w:p>
    <w:p w:rsidR="00E34240" w:rsidRDefault="00E34240" w:rsidP="000010A7">
      <w:pPr>
        <w:pStyle w:val="NoSpacing"/>
        <w:ind w:left="1260" w:hanging="1260"/>
        <w:rPr>
          <w:rFonts w:ascii="Times New Roman" w:hAnsi="Times New Roman" w:cs="Times New Roman"/>
          <w:b/>
          <w:sz w:val="24"/>
          <w:szCs w:val="24"/>
        </w:rPr>
      </w:pPr>
    </w:p>
    <w:p w:rsidR="005C49C9" w:rsidRDefault="00A7703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w:t>
      </w:r>
      <w:r w:rsidR="005C49C9">
        <w:rPr>
          <w:rFonts w:ascii="Times New Roman" w:hAnsi="Times New Roman" w:cs="Times New Roman"/>
          <w:sz w:val="24"/>
          <w:szCs w:val="24"/>
        </w:rPr>
        <w:t xml:space="preserve"> Court</w:t>
      </w:r>
      <w:r w:rsidR="003F4DDE">
        <w:rPr>
          <w:rFonts w:ascii="Times New Roman" w:hAnsi="Times New Roman" w:cs="Times New Roman"/>
          <w:sz w:val="24"/>
          <w:szCs w:val="24"/>
        </w:rPr>
        <w:t>s</w:t>
      </w:r>
    </w:p>
    <w:p w:rsidR="005C49C9" w:rsidRDefault="005C49C9" w:rsidP="000010A7">
      <w:pPr>
        <w:pStyle w:val="NoSpacing"/>
        <w:ind w:left="1260" w:hanging="1260"/>
        <w:rPr>
          <w:rFonts w:ascii="Times New Roman" w:hAnsi="Times New Roman" w:cs="Times New Roman"/>
          <w:sz w:val="24"/>
          <w:szCs w:val="24"/>
        </w:rPr>
      </w:pPr>
    </w:p>
    <w:p w:rsidR="005C49C9" w:rsidRPr="003F4DDE" w:rsidRDefault="00A77030"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Swanson </w:t>
      </w:r>
      <w:r w:rsidR="003F4DDE"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Board of Trustees of Flossmoor Police Pension Fund</w:t>
      </w:r>
      <w:r w:rsidR="003F4DDE">
        <w:rPr>
          <w:rFonts w:ascii="Times New Roman" w:hAnsi="Times New Roman" w:cs="Times New Roman"/>
          <w:sz w:val="24"/>
          <w:szCs w:val="24"/>
        </w:rPr>
        <w:t xml:space="preserve">, </w:t>
      </w:r>
      <w:r>
        <w:rPr>
          <w:rFonts w:ascii="Times New Roman" w:hAnsi="Times New Roman" w:cs="Times New Roman"/>
          <w:sz w:val="24"/>
          <w:szCs w:val="24"/>
        </w:rPr>
        <w:t xml:space="preserve">2014 </w:t>
      </w:r>
      <w:proofErr w:type="spellStart"/>
      <w:r>
        <w:rPr>
          <w:rFonts w:ascii="Times New Roman" w:hAnsi="Times New Roman" w:cs="Times New Roman"/>
          <w:sz w:val="24"/>
          <w:szCs w:val="24"/>
        </w:rPr>
        <w:t>Ill.App</w:t>
      </w:r>
      <w:proofErr w:type="spellEnd"/>
      <w:r>
        <w:rPr>
          <w:rFonts w:ascii="Times New Roman" w:hAnsi="Times New Roman" w:cs="Times New Roman"/>
          <w:sz w:val="24"/>
          <w:szCs w:val="24"/>
        </w:rPr>
        <w:t>. 130561</w:t>
      </w:r>
      <w:r w:rsidR="003F4DDE">
        <w:rPr>
          <w:rFonts w:ascii="Times New Roman" w:hAnsi="Times New Roman" w:cs="Times New Roman"/>
          <w:sz w:val="24"/>
          <w:szCs w:val="24"/>
        </w:rPr>
        <w:t xml:space="preserve"> (</w:t>
      </w:r>
      <w:r>
        <w:rPr>
          <w:rFonts w:ascii="Times New Roman" w:hAnsi="Times New Roman" w:cs="Times New Roman"/>
          <w:sz w:val="24"/>
          <w:szCs w:val="24"/>
        </w:rPr>
        <w:t xml:space="preserve">March </w:t>
      </w:r>
      <w:r w:rsidR="003F4DDE">
        <w:rPr>
          <w:rFonts w:ascii="Times New Roman" w:hAnsi="Times New Roman" w:cs="Times New Roman"/>
          <w:sz w:val="24"/>
          <w:szCs w:val="24"/>
        </w:rPr>
        <w:t>3, 2014)</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sidR="00A77030">
        <w:rPr>
          <w:rFonts w:ascii="Times New Roman" w:hAnsi="Times New Roman" w:cs="Times New Roman"/>
          <w:sz w:val="24"/>
          <w:szCs w:val="24"/>
        </w:rPr>
        <w:t xml:space="preserve">Plaintiff was a detective for the Flossmoor Police Department.  On the night following a poor performance evaluation, he had trouble sleeping.  On the drive to work the following day, he had to return home because </w:t>
      </w:r>
      <w:r w:rsidR="001D2DEF">
        <w:rPr>
          <w:rFonts w:ascii="Times New Roman" w:hAnsi="Times New Roman" w:cs="Times New Roman"/>
          <w:sz w:val="24"/>
          <w:szCs w:val="24"/>
        </w:rPr>
        <w:t xml:space="preserve">of </w:t>
      </w:r>
      <w:r w:rsidR="00A77030">
        <w:rPr>
          <w:rFonts w:ascii="Times New Roman" w:hAnsi="Times New Roman" w:cs="Times New Roman"/>
          <w:sz w:val="24"/>
          <w:szCs w:val="24"/>
        </w:rPr>
        <w:t>numbness in his arm and his mouth was dro</w:t>
      </w:r>
      <w:r w:rsidR="001D2DEF">
        <w:rPr>
          <w:rFonts w:ascii="Times New Roman" w:hAnsi="Times New Roman" w:cs="Times New Roman"/>
          <w:sz w:val="24"/>
          <w:szCs w:val="24"/>
        </w:rPr>
        <w:t>o</w:t>
      </w:r>
      <w:r w:rsidR="00A77030">
        <w:rPr>
          <w:rFonts w:ascii="Times New Roman" w:hAnsi="Times New Roman" w:cs="Times New Roman"/>
          <w:sz w:val="24"/>
          <w:szCs w:val="24"/>
        </w:rPr>
        <w:t xml:space="preserve">ping.  His wife also </w:t>
      </w:r>
      <w:r w:rsidR="001D2DEF">
        <w:rPr>
          <w:rFonts w:ascii="Times New Roman" w:hAnsi="Times New Roman" w:cs="Times New Roman"/>
          <w:sz w:val="24"/>
          <w:szCs w:val="24"/>
        </w:rPr>
        <w:t>detected</w:t>
      </w:r>
      <w:r w:rsidR="00A77030">
        <w:rPr>
          <w:rFonts w:ascii="Times New Roman" w:hAnsi="Times New Roman" w:cs="Times New Roman"/>
          <w:sz w:val="24"/>
          <w:szCs w:val="24"/>
        </w:rPr>
        <w:t xml:space="preserve"> slurred speech</w:t>
      </w:r>
      <w:r w:rsidR="001D2DEF">
        <w:rPr>
          <w:rFonts w:ascii="Times New Roman" w:hAnsi="Times New Roman" w:cs="Times New Roman"/>
          <w:sz w:val="24"/>
          <w:szCs w:val="24"/>
        </w:rPr>
        <w:t xml:space="preserve">.  </w:t>
      </w:r>
      <w:r w:rsidR="00A77030">
        <w:rPr>
          <w:rFonts w:ascii="Times New Roman" w:hAnsi="Times New Roman" w:cs="Times New Roman"/>
          <w:sz w:val="24"/>
          <w:szCs w:val="24"/>
        </w:rPr>
        <w:t xml:space="preserve">He was taken to the hospital and treated for a transient ischemic attack (TIA).  His discharge diagnosis was </w:t>
      </w:r>
      <w:r w:rsidR="001D2DEF">
        <w:rPr>
          <w:rFonts w:ascii="Times New Roman" w:hAnsi="Times New Roman" w:cs="Times New Roman"/>
          <w:sz w:val="24"/>
          <w:szCs w:val="24"/>
        </w:rPr>
        <w:t xml:space="preserve">an </w:t>
      </w:r>
      <w:r w:rsidR="00A77030">
        <w:rPr>
          <w:rFonts w:ascii="Times New Roman" w:hAnsi="Times New Roman" w:cs="Times New Roman"/>
          <w:sz w:val="24"/>
          <w:szCs w:val="24"/>
        </w:rPr>
        <w:t xml:space="preserve">unspecified cerebral arterial occlusion and hypertension.  He had been treating for hypertension for the four years prior to his hospital admission.  </w:t>
      </w:r>
      <w:r w:rsidR="001D2DEF">
        <w:rPr>
          <w:rFonts w:ascii="Times New Roman" w:hAnsi="Times New Roman" w:cs="Times New Roman"/>
          <w:sz w:val="24"/>
          <w:szCs w:val="24"/>
        </w:rPr>
        <w:t>H</w:t>
      </w:r>
      <w:r w:rsidR="00A77030">
        <w:rPr>
          <w:rFonts w:ascii="Times New Roman" w:hAnsi="Times New Roman" w:cs="Times New Roman"/>
          <w:sz w:val="24"/>
          <w:szCs w:val="24"/>
        </w:rPr>
        <w:t>e was released to return to full duty approximately 20 days later.  Over the next several months, the Plaintiff suffered several incidents of light-headedness, numbness in his arm and anxiety while at work.  He was placed on FMLA leave.  He returned to work, but two days later had additional similar symptoms.  He then applied for disability benefits claiming he had suffered a stroke in the line of duty.</w:t>
      </w:r>
    </w:p>
    <w:p w:rsidR="005C49C9" w:rsidRDefault="005C49C9" w:rsidP="000010A7">
      <w:pPr>
        <w:pStyle w:val="NoSpacing"/>
        <w:ind w:left="1260" w:hanging="1260"/>
        <w:rPr>
          <w:rFonts w:ascii="Times New Roman" w:hAnsi="Times New Roman" w:cs="Times New Roman"/>
          <w:sz w:val="24"/>
          <w:szCs w:val="24"/>
        </w:rPr>
      </w:pPr>
    </w:p>
    <w:p w:rsidR="0088161B"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E91267">
        <w:rPr>
          <w:rFonts w:ascii="Times New Roman" w:hAnsi="Times New Roman" w:cs="Times New Roman"/>
          <w:sz w:val="24"/>
          <w:szCs w:val="24"/>
        </w:rPr>
        <w:t xml:space="preserve">The Pension Board denied his </w:t>
      </w:r>
      <w:r w:rsidR="001D2DEF">
        <w:rPr>
          <w:rFonts w:ascii="Times New Roman" w:hAnsi="Times New Roman" w:cs="Times New Roman"/>
          <w:sz w:val="24"/>
          <w:szCs w:val="24"/>
        </w:rPr>
        <w:t>“in-</w:t>
      </w:r>
      <w:r w:rsidR="00E91267">
        <w:rPr>
          <w:rFonts w:ascii="Times New Roman" w:hAnsi="Times New Roman" w:cs="Times New Roman"/>
          <w:sz w:val="24"/>
          <w:szCs w:val="24"/>
        </w:rPr>
        <w:t>line of duty</w:t>
      </w:r>
      <w:r w:rsidR="001D2DEF">
        <w:rPr>
          <w:rFonts w:ascii="Times New Roman" w:hAnsi="Times New Roman" w:cs="Times New Roman"/>
          <w:sz w:val="24"/>
          <w:szCs w:val="24"/>
        </w:rPr>
        <w:t>”</w:t>
      </w:r>
      <w:r w:rsidR="00E91267">
        <w:rPr>
          <w:rFonts w:ascii="Times New Roman" w:hAnsi="Times New Roman" w:cs="Times New Roman"/>
          <w:sz w:val="24"/>
          <w:szCs w:val="24"/>
        </w:rPr>
        <w:t xml:space="preserve"> pension on the basis that there was insufficient proof that the Plaintiff’s disability was the result of a stroke suffered as a result of the performance of his duties as a police officer.  Instead of receiving a 65% pension, he was awarded a 50% pension pursuant to the Illinois Pension Code.  In affirming the Pension Board’s ruling, the Appellate Court noted that in order to get the higher pension, it was Plaintiff’s burden to prove that his disability was the result of a stroke suffered as a result of the performance of his duties as a police officer.  Given the fact that several medical providers noted that the stroke had an “unclear etiology”, the Board’s assessment of the medical evidence could not be overturned. </w:t>
      </w:r>
      <w:r w:rsidR="00AE01BF">
        <w:rPr>
          <w:rFonts w:ascii="Times New Roman" w:hAnsi="Times New Roman" w:cs="Times New Roman"/>
          <w:sz w:val="24"/>
          <w:szCs w:val="24"/>
        </w:rPr>
        <w:t xml:space="preserve"> </w:t>
      </w:r>
    </w:p>
    <w:p w:rsidR="00E34240" w:rsidRDefault="00E34240" w:rsidP="000010A7">
      <w:pPr>
        <w:pStyle w:val="NoSpacing"/>
        <w:ind w:left="1260" w:hanging="1260"/>
        <w:rPr>
          <w:rFonts w:ascii="Times New Roman" w:hAnsi="Times New Roman" w:cs="Times New Roman"/>
          <w:sz w:val="24"/>
          <w:szCs w:val="24"/>
        </w:rPr>
      </w:pPr>
    </w:p>
    <w:p w:rsidR="0088161B" w:rsidRPr="00AE01BF" w:rsidRDefault="00E91267"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i/>
          <w:sz w:val="24"/>
          <w:szCs w:val="24"/>
          <w:u w:val="single"/>
        </w:rPr>
        <w:t>Scepurek</w:t>
      </w:r>
      <w:proofErr w:type="spellEnd"/>
      <w:r w:rsidR="00AE01BF" w:rsidRPr="00F81832">
        <w:rPr>
          <w:rFonts w:ascii="Times New Roman" w:hAnsi="Times New Roman" w:cs="Times New Roman"/>
          <w:i/>
          <w:sz w:val="24"/>
          <w:szCs w:val="24"/>
          <w:u w:val="single"/>
        </w:rPr>
        <w:t xml:space="preserve"> v.</w:t>
      </w:r>
      <w:r>
        <w:rPr>
          <w:rFonts w:ascii="Times New Roman" w:hAnsi="Times New Roman" w:cs="Times New Roman"/>
          <w:i/>
          <w:sz w:val="24"/>
          <w:szCs w:val="24"/>
          <w:u w:val="single"/>
        </w:rPr>
        <w:t xml:space="preserve"> Board of Trustees</w:t>
      </w:r>
      <w:r w:rsidR="00AE01BF">
        <w:rPr>
          <w:rFonts w:ascii="Times New Roman" w:hAnsi="Times New Roman" w:cs="Times New Roman"/>
          <w:sz w:val="24"/>
          <w:szCs w:val="24"/>
        </w:rPr>
        <w:t>, 2014</w:t>
      </w:r>
      <w:r>
        <w:rPr>
          <w:rFonts w:ascii="Times New Roman" w:hAnsi="Times New Roman" w:cs="Times New Roman"/>
          <w:sz w:val="24"/>
          <w:szCs w:val="24"/>
        </w:rPr>
        <w:t xml:space="preserve"> IL </w:t>
      </w:r>
      <w:proofErr w:type="gramStart"/>
      <w:r>
        <w:rPr>
          <w:rFonts w:ascii="Times New Roman" w:hAnsi="Times New Roman" w:cs="Times New Roman"/>
          <w:sz w:val="24"/>
          <w:szCs w:val="24"/>
        </w:rPr>
        <w:t>App  131066</w:t>
      </w:r>
      <w:proofErr w:type="gramEnd"/>
      <w:r>
        <w:rPr>
          <w:rFonts w:ascii="Times New Roman" w:hAnsi="Times New Roman" w:cs="Times New Roman"/>
          <w:sz w:val="24"/>
          <w:szCs w:val="24"/>
        </w:rPr>
        <w:t xml:space="preserve"> (</w:t>
      </w:r>
      <w:r w:rsidR="001D2DEF">
        <w:rPr>
          <w:rFonts w:ascii="Times New Roman" w:hAnsi="Times New Roman" w:cs="Times New Roman"/>
          <w:sz w:val="24"/>
          <w:szCs w:val="24"/>
        </w:rPr>
        <w:t xml:space="preserve">First Dist., </w:t>
      </w:r>
      <w:r>
        <w:rPr>
          <w:rFonts w:ascii="Times New Roman" w:hAnsi="Times New Roman" w:cs="Times New Roman"/>
          <w:sz w:val="24"/>
          <w:szCs w:val="24"/>
        </w:rPr>
        <w:t>March 4, 2014</w:t>
      </w:r>
      <w:r w:rsidR="00AE01BF">
        <w:rPr>
          <w:rFonts w:ascii="Times New Roman" w:hAnsi="Times New Roman" w:cs="Times New Roman"/>
          <w:sz w:val="24"/>
          <w:szCs w:val="24"/>
        </w:rPr>
        <w:t xml:space="preserve">)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E91267">
        <w:rPr>
          <w:rFonts w:ascii="Times New Roman" w:hAnsi="Times New Roman" w:cs="Times New Roman"/>
          <w:sz w:val="24"/>
          <w:szCs w:val="24"/>
        </w:rPr>
        <w:t>The Plaintiff was a firefighter/paramedic for the Village of Northbrook</w:t>
      </w:r>
      <w:r w:rsidR="001D2DEF">
        <w:rPr>
          <w:rFonts w:ascii="Times New Roman" w:hAnsi="Times New Roman" w:cs="Times New Roman"/>
          <w:sz w:val="24"/>
          <w:szCs w:val="24"/>
        </w:rPr>
        <w:t xml:space="preserve">.  He </w:t>
      </w:r>
      <w:r w:rsidR="00E91267">
        <w:rPr>
          <w:rFonts w:ascii="Times New Roman" w:hAnsi="Times New Roman" w:cs="Times New Roman"/>
          <w:sz w:val="24"/>
          <w:szCs w:val="24"/>
        </w:rPr>
        <w:t xml:space="preserve">filed a duty disability pension under Section 4-110 of the Illinois Pension Code as a direct result of a back injury he suffered while on the job in May of 2010 while performing CPR after responding to an emergency call.  The Plaintiff’s initial treating physician told him that he was permanently disabled to work as a firefighter/paramedic, and the opinion of a second physician declared the same.  The Plaintiff filed his application for a disability pension in April of 2012. </w:t>
      </w:r>
    </w:p>
    <w:p w:rsidR="00E91267" w:rsidRDefault="00E91267" w:rsidP="000010A7">
      <w:pPr>
        <w:pStyle w:val="NoSpacing"/>
        <w:ind w:left="1260" w:hanging="1260"/>
        <w:rPr>
          <w:rFonts w:ascii="Times New Roman" w:hAnsi="Times New Roman" w:cs="Times New Roman"/>
          <w:sz w:val="24"/>
          <w:szCs w:val="24"/>
        </w:rPr>
      </w:pPr>
    </w:p>
    <w:p w:rsidR="00E91267" w:rsidRDefault="00E91267"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lastRenderedPageBreak/>
        <w:tab/>
        <w:t xml:space="preserve">Pursuant to Section 3-115 of the Code, the pension board selected three physicians to perform independent medical evaluations of the Plaintiff.  The three physicians unanimously declared that the Plaintiff was permanently disabled and the disability was caused, at least in part, by the injury he suffered in May of 2010.  Despite the unanimous opinions of the physicians, the board concluded that Plaintiff’s disability was permanent but was not in any way caused by any activity performed by him on the job.  According to the board, the evidence showed that the Plaintiff fully recovered from the back injury from May of 2010, and that the sole cause of his disability was the preexisting degenerative changes in his lower back.  Therefore, the board denied Plaintiff’s application for a duty-related disability.  The trial court affirmed the board’s decision and the Plaintiff appealed.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AE01BF">
        <w:rPr>
          <w:rFonts w:ascii="Times New Roman" w:hAnsi="Times New Roman" w:cs="Times New Roman"/>
          <w:sz w:val="24"/>
          <w:szCs w:val="24"/>
        </w:rPr>
        <w:t>The</w:t>
      </w:r>
      <w:r w:rsidR="00E91267">
        <w:rPr>
          <w:rFonts w:ascii="Times New Roman" w:hAnsi="Times New Roman" w:cs="Times New Roman"/>
          <w:sz w:val="24"/>
          <w:szCs w:val="24"/>
        </w:rPr>
        <w:t xml:space="preserve"> appellate court determined that the board’s decision was against the manifest weight of the evidence, as there was nothing in the record to support the board’s conclusion.  Five physicians unanimously agreed that the Plaintiff was permanently disabled and his disability was due, at least in part, by the injury that occurred in May of 2010.  The Court found that the board had improperly ignored the medical evidence and substituted its own evidence of the Plaintiff’s credibility, which had no basis in fact.  </w:t>
      </w:r>
      <w:r w:rsidR="00AE01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RETALIATORY DISCHARGE</w:t>
      </w:r>
    </w:p>
    <w:p w:rsidR="00E34240" w:rsidRDefault="00E34240" w:rsidP="000010A7">
      <w:pPr>
        <w:pStyle w:val="NoSpacing"/>
        <w:ind w:left="1260" w:hanging="1260"/>
        <w:rPr>
          <w:rFonts w:ascii="Times New Roman" w:hAnsi="Times New Roman" w:cs="Times New Roman"/>
          <w:b/>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E51E08" w:rsidRDefault="00E51E08" w:rsidP="000010A7">
      <w:pPr>
        <w:pStyle w:val="NoSpacing"/>
        <w:ind w:left="1260" w:hanging="1260"/>
        <w:rPr>
          <w:rFonts w:ascii="Times New Roman" w:hAnsi="Times New Roman" w:cs="Times New Roman"/>
          <w:sz w:val="24"/>
          <w:szCs w:val="24"/>
        </w:rPr>
      </w:pPr>
    </w:p>
    <w:p w:rsidR="00E51E08" w:rsidRPr="00B221EC" w:rsidRDefault="00E91267"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Reid and Davis</w:t>
      </w:r>
      <w:r w:rsidR="00B221EC" w:rsidRPr="00F81832">
        <w:rPr>
          <w:rFonts w:ascii="Times New Roman" w:hAnsi="Times New Roman" w:cs="Times New Roman"/>
          <w:i/>
          <w:sz w:val="24"/>
          <w:szCs w:val="24"/>
          <w:u w:val="single"/>
        </w:rPr>
        <w:t xml:space="preserve"> v. </w:t>
      </w:r>
      <w:r>
        <w:rPr>
          <w:rFonts w:ascii="Times New Roman" w:hAnsi="Times New Roman" w:cs="Times New Roman"/>
          <w:i/>
          <w:sz w:val="24"/>
          <w:szCs w:val="24"/>
          <w:u w:val="single"/>
        </w:rPr>
        <w:t>Neighborhood Assistance Corp. of America</w:t>
      </w:r>
      <w:r w:rsidR="00B221EC">
        <w:rPr>
          <w:rFonts w:ascii="Times New Roman" w:hAnsi="Times New Roman" w:cs="Times New Roman"/>
          <w:i/>
          <w:sz w:val="24"/>
          <w:szCs w:val="24"/>
        </w:rPr>
        <w:t>,</w:t>
      </w:r>
      <w:r w:rsidR="00B221EC">
        <w:rPr>
          <w:rFonts w:ascii="Times New Roman" w:hAnsi="Times New Roman" w:cs="Times New Roman"/>
          <w:sz w:val="24"/>
          <w:szCs w:val="24"/>
        </w:rPr>
        <w:t xml:space="preserve"> (7</w:t>
      </w:r>
      <w:r w:rsidR="00B221EC" w:rsidRPr="00B221EC">
        <w:rPr>
          <w:rFonts w:ascii="Times New Roman" w:hAnsi="Times New Roman" w:cs="Times New Roman"/>
          <w:sz w:val="24"/>
          <w:szCs w:val="24"/>
          <w:vertAlign w:val="superscript"/>
        </w:rPr>
        <w:t>th</w:t>
      </w:r>
      <w:r w:rsidR="00B221EC">
        <w:rPr>
          <w:rFonts w:ascii="Times New Roman" w:hAnsi="Times New Roman" w:cs="Times New Roman"/>
          <w:sz w:val="24"/>
          <w:szCs w:val="24"/>
        </w:rPr>
        <w:t xml:space="preserve"> Cir.</w:t>
      </w:r>
      <w:r>
        <w:rPr>
          <w:rFonts w:ascii="Times New Roman" w:hAnsi="Times New Roman" w:cs="Times New Roman"/>
          <w:sz w:val="24"/>
          <w:szCs w:val="24"/>
        </w:rPr>
        <w:t xml:space="preserve"> No. 13-1768, April 1, 2014)</w:t>
      </w:r>
    </w:p>
    <w:p w:rsidR="00E51E08" w:rsidRDefault="00E51E08"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E91267">
        <w:rPr>
          <w:rFonts w:ascii="Times New Roman" w:hAnsi="Times New Roman" w:cs="Times New Roman"/>
          <w:sz w:val="24"/>
          <w:szCs w:val="24"/>
        </w:rPr>
        <w:t xml:space="preserve">Plaintiffs were at-will mortgage consultants for NACA, a nationwide not-for-profit entity that assisted potential homeowners </w:t>
      </w:r>
      <w:r w:rsidR="001D2DEF">
        <w:rPr>
          <w:rFonts w:ascii="Times New Roman" w:hAnsi="Times New Roman" w:cs="Times New Roman"/>
          <w:sz w:val="24"/>
          <w:szCs w:val="24"/>
        </w:rPr>
        <w:t>in</w:t>
      </w:r>
      <w:r w:rsidR="00E91267">
        <w:rPr>
          <w:rFonts w:ascii="Times New Roman" w:hAnsi="Times New Roman" w:cs="Times New Roman"/>
          <w:sz w:val="24"/>
          <w:szCs w:val="24"/>
        </w:rPr>
        <w:t xml:space="preserve"> obtain</w:t>
      </w:r>
      <w:r w:rsidR="001D2DEF">
        <w:rPr>
          <w:rFonts w:ascii="Times New Roman" w:hAnsi="Times New Roman" w:cs="Times New Roman"/>
          <w:sz w:val="24"/>
          <w:szCs w:val="24"/>
        </w:rPr>
        <w:t>ing</w:t>
      </w:r>
      <w:r w:rsidR="00E91267">
        <w:rPr>
          <w:rFonts w:ascii="Times New Roman" w:hAnsi="Times New Roman" w:cs="Times New Roman"/>
          <w:sz w:val="24"/>
          <w:szCs w:val="24"/>
        </w:rPr>
        <w:t xml:space="preserve"> mortgages.  During their employment, Plaintiffs made complaints that they were not being paid minimum wage in accordance with Illinois law and also complained that NACA violated state and federal mortgage laws.  Several other NACA employees made similar complaints, but none were terminated.  Plaintiffs were terminated, according to the employer, for violating policies related to paperless files and timely submission of information related to pending mortgage applications.  The employer conceded that there were other employees that also violated the paperless file policy that had not been terminated.  </w:t>
      </w:r>
    </w:p>
    <w:p w:rsidR="00563E7F" w:rsidRDefault="00563E7F" w:rsidP="000010A7">
      <w:pPr>
        <w:pStyle w:val="NoSpacing"/>
        <w:ind w:left="1260" w:hanging="1260"/>
        <w:rPr>
          <w:rFonts w:ascii="Times New Roman" w:hAnsi="Times New Roman" w:cs="Times New Roman"/>
          <w:sz w:val="24"/>
          <w:szCs w:val="24"/>
        </w:rPr>
      </w:pPr>
    </w:p>
    <w:p w:rsidR="00563E7F" w:rsidRPr="00E91267"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E91267">
        <w:rPr>
          <w:rFonts w:ascii="Times New Roman" w:hAnsi="Times New Roman" w:cs="Times New Roman"/>
          <w:sz w:val="24"/>
          <w:szCs w:val="24"/>
        </w:rPr>
        <w:t xml:space="preserve">To survive a Motion for Summary Judgment in a retaliatory discharge claim, the Plaintiff must offer </w:t>
      </w:r>
      <w:proofErr w:type="gramStart"/>
      <w:r w:rsidR="00E91267">
        <w:rPr>
          <w:rFonts w:ascii="Times New Roman" w:hAnsi="Times New Roman" w:cs="Times New Roman"/>
          <w:sz w:val="24"/>
          <w:szCs w:val="24"/>
        </w:rPr>
        <w:t>sufficient  evidence</w:t>
      </w:r>
      <w:proofErr w:type="gramEnd"/>
      <w:r w:rsidR="00E91267">
        <w:rPr>
          <w:rFonts w:ascii="Times New Roman" w:hAnsi="Times New Roman" w:cs="Times New Roman"/>
          <w:sz w:val="24"/>
          <w:szCs w:val="24"/>
        </w:rPr>
        <w:t xml:space="preserve"> to find that (1) the employer discharged the employee (2) in retaliation for the employee’s protected activities, and (3) that the discharge was in contravention of a clearly mandated public policy.  For the element of causation, the ultimate issue is the employer’s motive in discharging the employee.  This motive may be shown by circumstantial evidence that includes factual scenarios that give rise to a reasonable inference that the employer’s motive was retaliatory.  Here, Plaintiffs asserted that the employer’s later explanation of </w:t>
      </w:r>
      <w:r w:rsidR="00E91267">
        <w:rPr>
          <w:rFonts w:ascii="Times New Roman" w:hAnsi="Times New Roman" w:cs="Times New Roman"/>
          <w:sz w:val="24"/>
          <w:szCs w:val="24"/>
        </w:rPr>
        <w:lastRenderedPageBreak/>
        <w:t xml:space="preserve">additional reasons for Plaintiffs’ termination should be viewed as evidence of pretext which could give rise to an inference of retaliatory intent.  In affirming summary judgment, the court rejected Plaintiffs argument of suspicious timing explaining that suspicion does not </w:t>
      </w:r>
      <w:r w:rsidR="001D2DEF">
        <w:rPr>
          <w:rFonts w:ascii="Times New Roman" w:hAnsi="Times New Roman" w:cs="Times New Roman"/>
          <w:sz w:val="24"/>
          <w:szCs w:val="24"/>
        </w:rPr>
        <w:t xml:space="preserve">create </w:t>
      </w:r>
      <w:r w:rsidR="00E91267">
        <w:rPr>
          <w:rFonts w:ascii="Times New Roman" w:hAnsi="Times New Roman" w:cs="Times New Roman"/>
          <w:sz w:val="24"/>
          <w:szCs w:val="24"/>
        </w:rPr>
        <w:t xml:space="preserve">an inference. Moreover, although shifting and inconsistent reasons for termination can give rise to an inference of retaliatory intent, here, the employer’s reasons for termination (paperless file) was always the principal reason.  The fact that </w:t>
      </w:r>
      <w:r w:rsidR="00E91267">
        <w:rPr>
          <w:rFonts w:ascii="Times New Roman" w:hAnsi="Times New Roman" w:cs="Times New Roman"/>
          <w:sz w:val="24"/>
          <w:szCs w:val="24"/>
          <w:u w:val="single"/>
        </w:rPr>
        <w:t>additional</w:t>
      </w:r>
      <w:r w:rsidR="00E91267">
        <w:rPr>
          <w:rFonts w:ascii="Times New Roman" w:hAnsi="Times New Roman" w:cs="Times New Roman"/>
          <w:sz w:val="24"/>
          <w:szCs w:val="24"/>
        </w:rPr>
        <w:t xml:space="preserve"> reasons were added, simply explained how the employer differentiated the Plaintiffs from other employees that had violated the policy and were not terminated.  </w:t>
      </w:r>
    </w:p>
    <w:p w:rsidR="00B221EC" w:rsidRDefault="00B221EC"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r>
    </w:p>
    <w:p w:rsidR="0041031F" w:rsidRDefault="0041031F" w:rsidP="000010A7">
      <w:pPr>
        <w:pStyle w:val="NoSpacing"/>
        <w:ind w:left="1260" w:hanging="1260"/>
        <w:rPr>
          <w:rFonts w:ascii="Times New Roman" w:hAnsi="Times New Roman" w:cs="Times New Roman"/>
          <w:b/>
          <w:sz w:val="24"/>
          <w:szCs w:val="24"/>
        </w:rPr>
      </w:pPr>
    </w:p>
    <w:p w:rsidR="0041031F" w:rsidRDefault="0041031F" w:rsidP="000010A7">
      <w:pPr>
        <w:pStyle w:val="NoSpacing"/>
        <w:ind w:left="1260" w:hanging="1260"/>
        <w:rPr>
          <w:rFonts w:ascii="Times New Roman" w:hAnsi="Times New Roman" w:cs="Times New Roman"/>
          <w:b/>
          <w:sz w:val="24"/>
          <w:szCs w:val="24"/>
        </w:rPr>
      </w:pPr>
    </w:p>
    <w:p w:rsidR="0041031F" w:rsidRDefault="0071381F"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UNEMPLOYMENT</w:t>
      </w:r>
    </w:p>
    <w:p w:rsidR="0041031F" w:rsidRDefault="0041031F" w:rsidP="000010A7">
      <w:pPr>
        <w:pStyle w:val="NoSpacing"/>
        <w:ind w:left="1260" w:hanging="1260"/>
        <w:rPr>
          <w:rFonts w:ascii="Times New Roman" w:hAnsi="Times New Roman" w:cs="Times New Roman"/>
          <w:b/>
          <w:sz w:val="24"/>
          <w:szCs w:val="24"/>
        </w:rPr>
      </w:pPr>
    </w:p>
    <w:p w:rsidR="00563E7F" w:rsidRDefault="0071381F"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w:t>
      </w:r>
      <w:r w:rsidR="0041031F">
        <w:rPr>
          <w:rFonts w:ascii="Times New Roman" w:hAnsi="Times New Roman" w:cs="Times New Roman"/>
          <w:sz w:val="24"/>
          <w:szCs w:val="24"/>
        </w:rPr>
        <w:t xml:space="preserve"> Court</w:t>
      </w:r>
      <w:r>
        <w:rPr>
          <w:rFonts w:ascii="Times New Roman" w:hAnsi="Times New Roman" w:cs="Times New Roman"/>
          <w:sz w:val="24"/>
          <w:szCs w:val="24"/>
        </w:rPr>
        <w:t>s</w:t>
      </w:r>
    </w:p>
    <w:p w:rsidR="00563E7F" w:rsidRDefault="00563E7F" w:rsidP="000010A7">
      <w:pPr>
        <w:pStyle w:val="NoSpacing"/>
        <w:ind w:left="1260" w:hanging="1260"/>
        <w:rPr>
          <w:rFonts w:ascii="Times New Roman" w:hAnsi="Times New Roman" w:cs="Times New Roman"/>
          <w:sz w:val="24"/>
          <w:szCs w:val="24"/>
        </w:rPr>
      </w:pPr>
    </w:p>
    <w:p w:rsidR="00563E7F" w:rsidRPr="0041031F" w:rsidRDefault="0041031F" w:rsidP="000010A7">
      <w:pPr>
        <w:pStyle w:val="NoSpacing"/>
        <w:ind w:left="1260" w:hanging="1260"/>
        <w:rPr>
          <w:rFonts w:ascii="Times New Roman" w:hAnsi="Times New Roman" w:cs="Times New Roman"/>
          <w:sz w:val="24"/>
          <w:szCs w:val="24"/>
        </w:rPr>
      </w:pPr>
      <w:r w:rsidRPr="00F81832">
        <w:rPr>
          <w:rFonts w:ascii="Times New Roman" w:hAnsi="Times New Roman" w:cs="Times New Roman"/>
          <w:i/>
          <w:sz w:val="24"/>
          <w:szCs w:val="24"/>
          <w:u w:val="single"/>
        </w:rPr>
        <w:t>B</w:t>
      </w:r>
      <w:r w:rsidR="0071381F">
        <w:rPr>
          <w:rFonts w:ascii="Times New Roman" w:hAnsi="Times New Roman" w:cs="Times New Roman"/>
          <w:i/>
          <w:sz w:val="24"/>
          <w:szCs w:val="24"/>
          <w:u w:val="single"/>
        </w:rPr>
        <w:t xml:space="preserve">aker </w:t>
      </w:r>
      <w:r w:rsidRPr="00F81832">
        <w:rPr>
          <w:rFonts w:ascii="Times New Roman" w:hAnsi="Times New Roman" w:cs="Times New Roman"/>
          <w:i/>
          <w:sz w:val="24"/>
          <w:szCs w:val="24"/>
          <w:u w:val="single"/>
        </w:rPr>
        <w:t xml:space="preserve">v. </w:t>
      </w:r>
      <w:r w:rsidR="0071381F">
        <w:rPr>
          <w:rFonts w:ascii="Times New Roman" w:hAnsi="Times New Roman" w:cs="Times New Roman"/>
          <w:i/>
          <w:sz w:val="24"/>
          <w:szCs w:val="24"/>
          <w:u w:val="single"/>
        </w:rPr>
        <w:t>The Illinois Dept. of Employment Security</w:t>
      </w:r>
      <w:r>
        <w:rPr>
          <w:rFonts w:ascii="Times New Roman" w:hAnsi="Times New Roman" w:cs="Times New Roman"/>
          <w:sz w:val="24"/>
          <w:szCs w:val="24"/>
        </w:rPr>
        <w:t xml:space="preserve">, </w:t>
      </w:r>
      <w:r w:rsidR="0071381F">
        <w:rPr>
          <w:rFonts w:ascii="Times New Roman" w:hAnsi="Times New Roman" w:cs="Times New Roman"/>
          <w:sz w:val="24"/>
          <w:szCs w:val="24"/>
        </w:rPr>
        <w:t xml:space="preserve">2014 </w:t>
      </w:r>
      <w:proofErr w:type="spellStart"/>
      <w:r w:rsidR="0071381F">
        <w:rPr>
          <w:rFonts w:ascii="Times New Roman" w:hAnsi="Times New Roman" w:cs="Times New Roman"/>
          <w:sz w:val="24"/>
          <w:szCs w:val="24"/>
        </w:rPr>
        <w:t>Ill.App</w:t>
      </w:r>
      <w:proofErr w:type="spellEnd"/>
      <w:r w:rsidR="0071381F">
        <w:rPr>
          <w:rFonts w:ascii="Times New Roman" w:hAnsi="Times New Roman" w:cs="Times New Roman"/>
          <w:sz w:val="24"/>
          <w:szCs w:val="24"/>
        </w:rPr>
        <w:t>. 123669</w:t>
      </w:r>
      <w:r>
        <w:rPr>
          <w:rFonts w:ascii="Times New Roman" w:hAnsi="Times New Roman" w:cs="Times New Roman"/>
          <w:sz w:val="24"/>
          <w:szCs w:val="24"/>
        </w:rPr>
        <w:t xml:space="preserve"> (</w:t>
      </w:r>
      <w:r w:rsidR="0071381F">
        <w:rPr>
          <w:rFonts w:ascii="Times New Roman" w:hAnsi="Times New Roman" w:cs="Times New Roman"/>
          <w:sz w:val="24"/>
          <w:szCs w:val="24"/>
        </w:rPr>
        <w:t>First Dist. March 14</w:t>
      </w:r>
      <w:r>
        <w:rPr>
          <w:rFonts w:ascii="Times New Roman" w:hAnsi="Times New Roman" w:cs="Times New Roman"/>
          <w:sz w:val="24"/>
          <w:szCs w:val="24"/>
        </w:rPr>
        <w:t>, 2014)</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71381F">
        <w:rPr>
          <w:rFonts w:ascii="Times New Roman" w:hAnsi="Times New Roman" w:cs="Times New Roman"/>
          <w:sz w:val="24"/>
          <w:szCs w:val="24"/>
        </w:rPr>
        <w:t>Plaintiff was an electrician for the Chicago Park District for 14 years.  Two weeks after the Arizona shooting in which a U.S. Congresswoman and 18 others were shot, the Plaintiff was in a meeting with his foreman and another co-worker when he said “I don’t want this to turn into an Arizona thing” and directed the comment to each of the employees that were present.  The Plaintiff was terminated for violating the District’s policy prohibiting violence in the workplace.  His application for unemployment benefits was denied because he had been discharged for misconduct connected with his work.  In th</w:t>
      </w:r>
      <w:r w:rsidR="001D2DEF">
        <w:rPr>
          <w:rFonts w:ascii="Times New Roman" w:hAnsi="Times New Roman" w:cs="Times New Roman"/>
          <w:sz w:val="24"/>
          <w:szCs w:val="24"/>
        </w:rPr>
        <w:t>e</w:t>
      </w:r>
      <w:r w:rsidR="0071381F">
        <w:rPr>
          <w:rFonts w:ascii="Times New Roman" w:hAnsi="Times New Roman" w:cs="Times New Roman"/>
          <w:sz w:val="24"/>
          <w:szCs w:val="24"/>
        </w:rPr>
        <w:t xml:space="preserve"> appeal, the employer presented evidence that the Plaintiff had received at least three prior warnings for violent threats in the workplace.</w:t>
      </w:r>
      <w:r w:rsidR="0041031F">
        <w:rPr>
          <w:rFonts w:ascii="Times New Roman" w:hAnsi="Times New Roman" w:cs="Times New Roman"/>
          <w:sz w:val="24"/>
          <w:szCs w:val="24"/>
        </w:rPr>
        <w:t xml:space="preserve"> </w:t>
      </w:r>
    </w:p>
    <w:p w:rsidR="008F0F1E" w:rsidRDefault="008F0F1E" w:rsidP="000010A7">
      <w:pPr>
        <w:pStyle w:val="NoSpacing"/>
        <w:ind w:left="1260" w:hanging="1260"/>
        <w:rPr>
          <w:rFonts w:ascii="Times New Roman" w:hAnsi="Times New Roman" w:cs="Times New Roman"/>
          <w:sz w:val="24"/>
          <w:szCs w:val="24"/>
        </w:rPr>
      </w:pPr>
    </w:p>
    <w:p w:rsidR="0041031F" w:rsidRDefault="008F0F1E" w:rsidP="0041031F">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71381F">
        <w:rPr>
          <w:rFonts w:ascii="Times New Roman" w:hAnsi="Times New Roman" w:cs="Times New Roman"/>
          <w:sz w:val="24"/>
          <w:szCs w:val="24"/>
        </w:rPr>
        <w:t xml:space="preserve">During the administrative review proceeding, Plaintiff admitted that the “going Arizona” comment referred to the killings in Arizona.  However, he stated the comments were not credible and could not be considered as threatening.  The Court defined “misconduct” as used in the unemployment context as (1) a deliberate and willful violation of (2) a reasonable rule or policy (3) that harms the employer or other employees or has been repeated by the former employee despite a warning or the employer’s explicit instructions.  An employee is deemed to have willfully violated a work rule or policy when he is aware of and consciously disregards the rule.  </w:t>
      </w:r>
      <w:r w:rsidR="001D2DEF">
        <w:rPr>
          <w:rFonts w:ascii="Times New Roman" w:hAnsi="Times New Roman" w:cs="Times New Roman"/>
          <w:sz w:val="24"/>
          <w:szCs w:val="24"/>
        </w:rPr>
        <w:t>The Court upheld the denial of benefits</w:t>
      </w:r>
      <w:r w:rsidR="0041031F">
        <w:rPr>
          <w:rFonts w:ascii="Times New Roman" w:hAnsi="Times New Roman" w:cs="Times New Roman"/>
          <w:sz w:val="24"/>
          <w:szCs w:val="24"/>
        </w:rPr>
        <w:t xml:space="preserve"> </w:t>
      </w:r>
    </w:p>
    <w:p w:rsidR="0041031F" w:rsidRDefault="0041031F" w:rsidP="0041031F">
      <w:pPr>
        <w:pStyle w:val="NoSpacing"/>
        <w:ind w:left="1260" w:hanging="1260"/>
        <w:rPr>
          <w:rFonts w:ascii="Times New Roman" w:hAnsi="Times New Roman" w:cs="Times New Roman"/>
          <w:sz w:val="24"/>
          <w:szCs w:val="24"/>
        </w:rPr>
      </w:pPr>
    </w:p>
    <w:p w:rsidR="00BD590B" w:rsidRPr="00F67329" w:rsidRDefault="0071381F" w:rsidP="000010A7">
      <w:pPr>
        <w:pStyle w:val="NoSpacing"/>
        <w:ind w:left="1260" w:hanging="1260"/>
        <w:rPr>
          <w:rFonts w:ascii="Times New Roman" w:hAnsi="Times New Roman" w:cs="Times New Roman"/>
          <w:sz w:val="24"/>
          <w:szCs w:val="24"/>
        </w:rPr>
      </w:pPr>
      <w:proofErr w:type="gramStart"/>
      <w:r>
        <w:rPr>
          <w:rFonts w:ascii="Times New Roman" w:hAnsi="Times New Roman" w:cs="Times New Roman"/>
          <w:i/>
          <w:sz w:val="24"/>
          <w:szCs w:val="24"/>
          <w:u w:val="single"/>
        </w:rPr>
        <w:t>C.R. England, Inc.</w:t>
      </w:r>
      <w:r w:rsidR="00F67329" w:rsidRPr="00F81832">
        <w:rPr>
          <w:rFonts w:ascii="Times New Roman" w:hAnsi="Times New Roman" w:cs="Times New Roman"/>
          <w:i/>
          <w:sz w:val="24"/>
          <w:szCs w:val="24"/>
          <w:u w:val="single"/>
        </w:rPr>
        <w:t xml:space="preserve"> v.</w:t>
      </w:r>
      <w:proofErr w:type="gramEnd"/>
      <w:r w:rsidR="007215C8">
        <w:rPr>
          <w:rFonts w:ascii="Times New Roman" w:hAnsi="Times New Roman" w:cs="Times New Roman"/>
          <w:i/>
          <w:sz w:val="24"/>
          <w:szCs w:val="24"/>
          <w:u w:val="single"/>
        </w:rPr>
        <w:t xml:space="preserve"> </w:t>
      </w:r>
      <w:r>
        <w:rPr>
          <w:rFonts w:ascii="Times New Roman" w:hAnsi="Times New Roman" w:cs="Times New Roman"/>
          <w:i/>
          <w:sz w:val="24"/>
          <w:szCs w:val="24"/>
          <w:u w:val="single"/>
        </w:rPr>
        <w:t>The Dept. of Employment Security</w:t>
      </w:r>
      <w:r w:rsidR="00F67329">
        <w:rPr>
          <w:rFonts w:ascii="Times New Roman" w:hAnsi="Times New Roman" w:cs="Times New Roman"/>
          <w:sz w:val="24"/>
          <w:szCs w:val="24"/>
        </w:rPr>
        <w:t xml:space="preserve">, </w:t>
      </w:r>
      <w:r>
        <w:rPr>
          <w:rFonts w:ascii="Times New Roman" w:hAnsi="Times New Roman" w:cs="Times New Roman"/>
          <w:sz w:val="24"/>
          <w:szCs w:val="24"/>
        </w:rPr>
        <w:t>(</w:t>
      </w:r>
      <w:r w:rsidR="00F67329">
        <w:rPr>
          <w:rFonts w:ascii="Times New Roman" w:hAnsi="Times New Roman" w:cs="Times New Roman"/>
          <w:sz w:val="24"/>
          <w:szCs w:val="24"/>
        </w:rPr>
        <w:t>1</w:t>
      </w:r>
      <w:r w:rsidR="00F67329" w:rsidRPr="00F67329">
        <w:rPr>
          <w:rFonts w:ascii="Times New Roman" w:hAnsi="Times New Roman" w:cs="Times New Roman"/>
          <w:sz w:val="24"/>
          <w:szCs w:val="24"/>
          <w:vertAlign w:val="superscript"/>
        </w:rPr>
        <w:t>st</w:t>
      </w:r>
      <w:r w:rsidR="00F67329">
        <w:rPr>
          <w:rFonts w:ascii="Times New Roman" w:hAnsi="Times New Roman" w:cs="Times New Roman"/>
          <w:sz w:val="24"/>
          <w:szCs w:val="24"/>
        </w:rPr>
        <w:t xml:space="preserve"> Dist. </w:t>
      </w:r>
      <w:r>
        <w:rPr>
          <w:rFonts w:ascii="Times New Roman" w:hAnsi="Times New Roman" w:cs="Times New Roman"/>
          <w:sz w:val="24"/>
          <w:szCs w:val="24"/>
        </w:rPr>
        <w:t>March 21</w:t>
      </w:r>
      <w:r w:rsidR="00F67329">
        <w:rPr>
          <w:rFonts w:ascii="Times New Roman" w:hAnsi="Times New Roman" w:cs="Times New Roman"/>
          <w:sz w:val="24"/>
          <w:szCs w:val="24"/>
        </w:rPr>
        <w:t>, 2014)</w:t>
      </w:r>
    </w:p>
    <w:p w:rsidR="00BD590B" w:rsidRDefault="00BD590B" w:rsidP="000010A7">
      <w:pPr>
        <w:pStyle w:val="NoSpacing"/>
        <w:ind w:left="1260" w:hanging="1260"/>
        <w:rPr>
          <w:rFonts w:ascii="Times New Roman" w:hAnsi="Times New Roman" w:cs="Times New Roman"/>
          <w:sz w:val="24"/>
          <w:szCs w:val="24"/>
        </w:rPr>
      </w:pPr>
    </w:p>
    <w:p w:rsidR="00563E7F"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71381F">
        <w:rPr>
          <w:rFonts w:ascii="Times New Roman" w:hAnsi="Times New Roman" w:cs="Times New Roman"/>
          <w:sz w:val="24"/>
          <w:szCs w:val="24"/>
        </w:rPr>
        <w:t xml:space="preserve">An over-the-road truck driver hauled freight for CRE, a national trucking company, pursuant to an independent contractor operating agreement.  During a delivery, the trucker pulled into the </w:t>
      </w:r>
      <w:proofErr w:type="spellStart"/>
      <w:r w:rsidR="0071381F">
        <w:rPr>
          <w:rFonts w:ascii="Times New Roman" w:hAnsi="Times New Roman" w:cs="Times New Roman"/>
          <w:sz w:val="24"/>
          <w:szCs w:val="24"/>
        </w:rPr>
        <w:t>Walmart</w:t>
      </w:r>
      <w:proofErr w:type="spellEnd"/>
      <w:r w:rsidR="0071381F">
        <w:rPr>
          <w:rFonts w:ascii="Times New Roman" w:hAnsi="Times New Roman" w:cs="Times New Roman"/>
          <w:sz w:val="24"/>
          <w:szCs w:val="24"/>
        </w:rPr>
        <w:t xml:space="preserve"> parking lot and struck a utility pole causing </w:t>
      </w:r>
      <w:r w:rsidR="0071381F">
        <w:rPr>
          <w:rFonts w:ascii="Times New Roman" w:hAnsi="Times New Roman" w:cs="Times New Roman"/>
          <w:sz w:val="24"/>
          <w:szCs w:val="24"/>
        </w:rPr>
        <w:lastRenderedPageBreak/>
        <w:t xml:space="preserve">thousands of dollars of damages to </w:t>
      </w:r>
      <w:proofErr w:type="spellStart"/>
      <w:r w:rsidR="0071381F">
        <w:rPr>
          <w:rFonts w:ascii="Times New Roman" w:hAnsi="Times New Roman" w:cs="Times New Roman"/>
          <w:sz w:val="24"/>
          <w:szCs w:val="24"/>
        </w:rPr>
        <w:t>Walmart’s</w:t>
      </w:r>
      <w:proofErr w:type="spellEnd"/>
      <w:r w:rsidR="0071381F">
        <w:rPr>
          <w:rFonts w:ascii="Times New Roman" w:hAnsi="Times New Roman" w:cs="Times New Roman"/>
          <w:sz w:val="24"/>
          <w:szCs w:val="24"/>
        </w:rPr>
        <w:t xml:space="preserve"> trailer.  CRE’s safety department disqualified the trucker from further driving for CRE and terminated his contract.  Thereafter, the trucker applied for unemployment benefits.  At the hearing, CRE claimed it was not the “chargeable last employer” because the trucker’s services for CRE should be excluded from the definition of employment because the trucker was an independent contractor and not an employee of CRE.  CRE further claimed that the trucker was not eligible for unemployment benefits because he had been discharged for employment-related misconduct.  Administratively, the Department found the trucker to be an employee for purposes of unemployment benefits and, as such, CRE was the chargeable employer.  Additionally, the Department found the trucker had been terminated for being involved in an accident, not for employment-related misconduct.  </w:t>
      </w:r>
    </w:p>
    <w:p w:rsidR="00BD590B" w:rsidRDefault="00BD590B" w:rsidP="000010A7">
      <w:pPr>
        <w:pStyle w:val="NoSpacing"/>
        <w:ind w:left="1260" w:hanging="1260"/>
        <w:rPr>
          <w:rFonts w:ascii="Times New Roman" w:hAnsi="Times New Roman" w:cs="Times New Roman"/>
          <w:sz w:val="24"/>
          <w:szCs w:val="24"/>
        </w:rPr>
      </w:pPr>
    </w:p>
    <w:p w:rsidR="00C41105" w:rsidRDefault="00BD590B"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C41105">
        <w:rPr>
          <w:rFonts w:ascii="Times New Roman" w:hAnsi="Times New Roman" w:cs="Times New Roman"/>
          <w:sz w:val="24"/>
          <w:szCs w:val="24"/>
        </w:rPr>
        <w:t xml:space="preserve">In determining whether an entity is a chargeable employer, the Court is not bound by traditional definitions or analysis of employer versus independent contractor.  Rather, the Court is bound to follow the definitions of the Unemployment Insurance Act.  Since the trucker clearly performed services for CRE (who met the statutory definition of an employing unit) who had a base of operations in Illinois, CRE was the chargeable last employer.  CRE could not establish all three statutory factors to meet the independent contractor exemption: (1) that the trucker was free from CRE’s control or direction over performance of the services (2) the services were outside the usual course of CRE’s business, and (3) the trucker was engaged in an independently established trade or business.  </w:t>
      </w:r>
    </w:p>
    <w:p w:rsidR="00C41105" w:rsidRDefault="00C41105" w:rsidP="000010A7">
      <w:pPr>
        <w:pStyle w:val="NoSpacing"/>
        <w:ind w:left="1260" w:hanging="1260"/>
        <w:rPr>
          <w:rFonts w:ascii="Times New Roman" w:hAnsi="Times New Roman" w:cs="Times New Roman"/>
          <w:sz w:val="24"/>
          <w:szCs w:val="24"/>
        </w:rPr>
      </w:pPr>
    </w:p>
    <w:p w:rsidR="00BD590B" w:rsidRDefault="00C41105"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In considering whether the trucker had been discharged for employment-related misconduct, the Court focused on the “deliberate and willful” violation of a company rule or policy.  To the contrary, the trucker attempted to drive to the best of his ability.  He was involved in an accident and there was no indication that he deliberately or willfully caused damage to </w:t>
      </w:r>
      <w:proofErr w:type="spellStart"/>
      <w:r>
        <w:rPr>
          <w:rFonts w:ascii="Times New Roman" w:hAnsi="Times New Roman" w:cs="Times New Roman"/>
          <w:sz w:val="24"/>
          <w:szCs w:val="24"/>
        </w:rPr>
        <w:t>Walmart’s</w:t>
      </w:r>
      <w:proofErr w:type="spellEnd"/>
      <w:r>
        <w:rPr>
          <w:rFonts w:ascii="Times New Roman" w:hAnsi="Times New Roman" w:cs="Times New Roman"/>
          <w:sz w:val="24"/>
          <w:szCs w:val="24"/>
        </w:rPr>
        <w:t xml:space="preserve"> trailer.  As such, the trucker was not discharged for employer-related misconduct and was entitled to unemployment benefits. </w:t>
      </w:r>
    </w:p>
    <w:p w:rsidR="0098258A" w:rsidRDefault="0098258A" w:rsidP="000010A7">
      <w:pPr>
        <w:pStyle w:val="NoSpacing"/>
        <w:ind w:left="1260" w:hanging="1260"/>
        <w:rPr>
          <w:rFonts w:ascii="Times New Roman" w:hAnsi="Times New Roman" w:cs="Times New Roman"/>
          <w:sz w:val="24"/>
          <w:szCs w:val="24"/>
        </w:rPr>
      </w:pPr>
    </w:p>
    <w:p w:rsidR="0098258A" w:rsidRDefault="0098258A" w:rsidP="000010A7">
      <w:pPr>
        <w:pStyle w:val="NoSpacing"/>
        <w:ind w:left="1260" w:hanging="1260"/>
        <w:rPr>
          <w:rFonts w:ascii="Times New Roman" w:hAnsi="Times New Roman" w:cs="Times New Roman"/>
          <w:sz w:val="24"/>
          <w:szCs w:val="24"/>
        </w:rPr>
      </w:pPr>
    </w:p>
    <w:p w:rsidR="0098258A" w:rsidRPr="000048F7" w:rsidRDefault="00B5251A" w:rsidP="000010A7">
      <w:pPr>
        <w:pStyle w:val="NoSpacing"/>
        <w:ind w:left="1260" w:hanging="1260"/>
        <w:rPr>
          <w:rFonts w:ascii="Times New Roman" w:hAnsi="Times New Roman" w:cs="Times New Roman"/>
          <w:sz w:val="24"/>
          <w:szCs w:val="24"/>
        </w:rPr>
      </w:pPr>
      <w:proofErr w:type="gramStart"/>
      <w:r>
        <w:rPr>
          <w:rFonts w:ascii="Times New Roman" w:hAnsi="Times New Roman" w:cs="Times New Roman"/>
          <w:i/>
          <w:sz w:val="24"/>
          <w:szCs w:val="24"/>
          <w:u w:val="single"/>
        </w:rPr>
        <w:t>Farris</w:t>
      </w:r>
      <w:r w:rsidR="007215C8">
        <w:rPr>
          <w:rFonts w:ascii="Times New Roman" w:hAnsi="Times New Roman" w:cs="Times New Roman"/>
          <w:i/>
          <w:sz w:val="24"/>
          <w:szCs w:val="24"/>
          <w:u w:val="single"/>
        </w:rPr>
        <w:t xml:space="preserve"> </w:t>
      </w:r>
      <w:r w:rsidR="000048F7" w:rsidRPr="000048F7">
        <w:rPr>
          <w:rFonts w:ascii="Times New Roman" w:hAnsi="Times New Roman" w:cs="Times New Roman"/>
          <w:i/>
          <w:sz w:val="24"/>
          <w:szCs w:val="24"/>
          <w:u w:val="single"/>
        </w:rPr>
        <w:t>v.</w:t>
      </w:r>
      <w:proofErr w:type="gramEnd"/>
      <w:r w:rsidR="007215C8">
        <w:rPr>
          <w:rFonts w:ascii="Times New Roman" w:hAnsi="Times New Roman" w:cs="Times New Roman"/>
          <w:i/>
          <w:sz w:val="24"/>
          <w:szCs w:val="24"/>
          <w:u w:val="single"/>
        </w:rPr>
        <w:t xml:space="preserve"> </w:t>
      </w:r>
      <w:r>
        <w:rPr>
          <w:rFonts w:ascii="Times New Roman" w:hAnsi="Times New Roman" w:cs="Times New Roman"/>
          <w:i/>
          <w:sz w:val="24"/>
          <w:szCs w:val="24"/>
          <w:u w:val="single"/>
        </w:rPr>
        <w:t>The Dept of Employment Security</w:t>
      </w:r>
      <w:r w:rsidR="000048F7">
        <w:rPr>
          <w:rFonts w:ascii="Times New Roman" w:hAnsi="Times New Roman" w:cs="Times New Roman"/>
          <w:sz w:val="24"/>
          <w:szCs w:val="24"/>
        </w:rPr>
        <w:t>, 2014 IL App 1</w:t>
      </w:r>
      <w:r>
        <w:rPr>
          <w:rFonts w:ascii="Times New Roman" w:hAnsi="Times New Roman" w:cs="Times New Roman"/>
          <w:sz w:val="24"/>
          <w:szCs w:val="24"/>
        </w:rPr>
        <w:t>30391</w:t>
      </w:r>
      <w:r w:rsidR="000048F7">
        <w:rPr>
          <w:rFonts w:ascii="Times New Roman" w:hAnsi="Times New Roman" w:cs="Times New Roman"/>
          <w:sz w:val="24"/>
          <w:szCs w:val="24"/>
        </w:rPr>
        <w:t xml:space="preserve"> (</w:t>
      </w:r>
      <w:r>
        <w:rPr>
          <w:rFonts w:ascii="Times New Roman" w:hAnsi="Times New Roman" w:cs="Times New Roman"/>
          <w:sz w:val="24"/>
          <w:szCs w:val="24"/>
        </w:rPr>
        <w:t>4</w:t>
      </w:r>
      <w:r w:rsidRPr="00B5251A">
        <w:rPr>
          <w:rFonts w:ascii="Times New Roman" w:hAnsi="Times New Roman" w:cs="Times New Roman"/>
          <w:sz w:val="24"/>
          <w:szCs w:val="24"/>
          <w:vertAlign w:val="superscript"/>
        </w:rPr>
        <w:t>th</w:t>
      </w:r>
      <w:r>
        <w:rPr>
          <w:rFonts w:ascii="Times New Roman" w:hAnsi="Times New Roman" w:cs="Times New Roman"/>
          <w:sz w:val="24"/>
          <w:szCs w:val="24"/>
        </w:rPr>
        <w:t xml:space="preserve"> Dist., March 11, </w:t>
      </w:r>
      <w:r w:rsidR="000048F7">
        <w:rPr>
          <w:rFonts w:ascii="Times New Roman" w:hAnsi="Times New Roman" w:cs="Times New Roman"/>
          <w:sz w:val="24"/>
          <w:szCs w:val="24"/>
        </w:rPr>
        <w:t>2014)</w:t>
      </w:r>
    </w:p>
    <w:p w:rsidR="0098258A" w:rsidRDefault="0098258A" w:rsidP="000010A7">
      <w:pPr>
        <w:pStyle w:val="NoSpacing"/>
        <w:ind w:left="1260" w:hanging="1260"/>
        <w:rPr>
          <w:rFonts w:ascii="Times New Roman" w:hAnsi="Times New Roman" w:cs="Times New Roman"/>
          <w:sz w:val="24"/>
          <w:szCs w:val="24"/>
        </w:rPr>
      </w:pPr>
    </w:p>
    <w:p w:rsidR="008F631B" w:rsidRDefault="0098258A"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B5251A">
        <w:rPr>
          <w:rFonts w:ascii="Times New Roman" w:hAnsi="Times New Roman" w:cs="Times New Roman"/>
          <w:sz w:val="24"/>
          <w:szCs w:val="24"/>
        </w:rPr>
        <w:t>Plaintiff worked as a farmhand in the breeding barn of a pork production facility.  Pursuant to a biosecurity policy contained within the employee handbook, employees were required to remove all clothing, shower and walk through the shower area into the “clean area” and put on clothing supplied by the farm before entering the breeding facility.  The policy was designed to prevent the spread of disease easily ca</w:t>
      </w:r>
      <w:r w:rsidR="001D2DEF">
        <w:rPr>
          <w:rFonts w:ascii="Times New Roman" w:hAnsi="Times New Roman" w:cs="Times New Roman"/>
          <w:sz w:val="24"/>
          <w:szCs w:val="24"/>
        </w:rPr>
        <w:t>rried</w:t>
      </w:r>
      <w:r w:rsidR="00B5251A">
        <w:rPr>
          <w:rFonts w:ascii="Times New Roman" w:hAnsi="Times New Roman" w:cs="Times New Roman"/>
          <w:sz w:val="24"/>
          <w:szCs w:val="24"/>
        </w:rPr>
        <w:t xml:space="preserve"> on shoes, clothing, fingernails, hair and jewelry.  A supervisor could not locate Plaintiff and received a report that he may be sleeping in the bathroom located outside of the “clean area.”  The supervisor went to bathroom and heard snoring coming from the bathroom.  Upon knocking, the snoring stopped, the Plaintiff </w:t>
      </w:r>
      <w:r w:rsidR="001D2DEF">
        <w:rPr>
          <w:rFonts w:ascii="Times New Roman" w:hAnsi="Times New Roman" w:cs="Times New Roman"/>
          <w:sz w:val="24"/>
          <w:szCs w:val="24"/>
        </w:rPr>
        <w:t xml:space="preserve">then </w:t>
      </w:r>
      <w:r w:rsidR="00B5251A">
        <w:rPr>
          <w:rFonts w:ascii="Times New Roman" w:hAnsi="Times New Roman" w:cs="Times New Roman"/>
          <w:sz w:val="24"/>
          <w:szCs w:val="24"/>
        </w:rPr>
        <w:t>stated he was using the bathroom, flushed the toil</w:t>
      </w:r>
      <w:r w:rsidR="001D2DEF">
        <w:rPr>
          <w:rFonts w:ascii="Times New Roman" w:hAnsi="Times New Roman" w:cs="Times New Roman"/>
          <w:sz w:val="24"/>
          <w:szCs w:val="24"/>
        </w:rPr>
        <w:t>et and then came out.  He was weari</w:t>
      </w:r>
      <w:r w:rsidR="00B5251A">
        <w:rPr>
          <w:rFonts w:ascii="Times New Roman" w:hAnsi="Times New Roman" w:cs="Times New Roman"/>
          <w:sz w:val="24"/>
          <w:szCs w:val="24"/>
        </w:rPr>
        <w:t xml:space="preserve">ng the farm-provided clothing which had been soiled with pig </w:t>
      </w:r>
      <w:r w:rsidR="00B5251A">
        <w:rPr>
          <w:rFonts w:ascii="Times New Roman" w:hAnsi="Times New Roman" w:cs="Times New Roman"/>
          <w:sz w:val="24"/>
          <w:szCs w:val="24"/>
        </w:rPr>
        <w:lastRenderedPageBreak/>
        <w:t>manure from activities Plaintiff had been involved in within the “clean area.”  Plaintiff was terminated for violating the biosecurity policy.  Plaintiff claimed he would have showered before reentering the clean are</w:t>
      </w:r>
      <w:r w:rsidR="001D2DEF">
        <w:rPr>
          <w:rFonts w:ascii="Times New Roman" w:hAnsi="Times New Roman" w:cs="Times New Roman"/>
          <w:sz w:val="24"/>
          <w:szCs w:val="24"/>
        </w:rPr>
        <w:t>a</w:t>
      </w:r>
      <w:r w:rsidR="00B5251A">
        <w:rPr>
          <w:rFonts w:ascii="Times New Roman" w:hAnsi="Times New Roman" w:cs="Times New Roman"/>
          <w:sz w:val="24"/>
          <w:szCs w:val="24"/>
        </w:rPr>
        <w:t xml:space="preserve">, but was terminated prior to being given the opportunity. </w:t>
      </w:r>
    </w:p>
    <w:p w:rsidR="00163751" w:rsidRDefault="00163751" w:rsidP="000010A7">
      <w:pPr>
        <w:pStyle w:val="NoSpacing"/>
        <w:ind w:left="1260" w:hanging="1260"/>
        <w:rPr>
          <w:rFonts w:ascii="Times New Roman" w:hAnsi="Times New Roman" w:cs="Times New Roman"/>
          <w:sz w:val="24"/>
          <w:szCs w:val="24"/>
        </w:rPr>
      </w:pPr>
    </w:p>
    <w:p w:rsidR="00163751" w:rsidRDefault="00163751" w:rsidP="00163751">
      <w:pPr>
        <w:pStyle w:val="NoSpacing"/>
        <w:ind w:left="1260" w:hanging="1260"/>
        <w:rPr>
          <w:rFonts w:ascii="Times New Roman" w:hAnsi="Times New Roman" w:cs="Times New Roman"/>
          <w:spacing w:val="-10"/>
          <w:sz w:val="24"/>
          <w:szCs w:val="24"/>
        </w:rPr>
      </w:pPr>
      <w:r>
        <w:rPr>
          <w:rFonts w:ascii="Times New Roman" w:hAnsi="Times New Roman" w:cs="Times New Roman"/>
          <w:sz w:val="24"/>
          <w:szCs w:val="24"/>
        </w:rPr>
        <w:tab/>
      </w:r>
    </w:p>
    <w:p w:rsidR="0098258A" w:rsidRDefault="00163751" w:rsidP="001D2DEF">
      <w:pPr>
        <w:spacing w:before="216"/>
        <w:ind w:left="1260" w:hanging="1260"/>
        <w:rPr>
          <w:rFonts w:ascii="Times New Roman" w:hAnsi="Times New Roman" w:cs="Times New Roman"/>
          <w:sz w:val="24"/>
          <w:szCs w:val="24"/>
        </w:rPr>
      </w:pPr>
      <w:r>
        <w:rPr>
          <w:rFonts w:ascii="Times New Roman" w:hAnsi="Times New Roman" w:cs="Times New Roman"/>
          <w:b/>
          <w:i/>
          <w:sz w:val="24"/>
          <w:szCs w:val="24"/>
        </w:rPr>
        <w:t>S</w:t>
      </w:r>
      <w:r w:rsidR="0098258A">
        <w:rPr>
          <w:rFonts w:ascii="Times New Roman" w:hAnsi="Times New Roman" w:cs="Times New Roman"/>
          <w:b/>
          <w:i/>
          <w:sz w:val="24"/>
          <w:szCs w:val="24"/>
        </w:rPr>
        <w:t>ummary:</w:t>
      </w:r>
      <w:r>
        <w:rPr>
          <w:rFonts w:ascii="Times New Roman" w:hAnsi="Times New Roman" w:cs="Times New Roman"/>
          <w:sz w:val="24"/>
          <w:szCs w:val="24"/>
        </w:rPr>
        <w:tab/>
      </w:r>
      <w:r w:rsidR="00B5251A">
        <w:rPr>
          <w:rFonts w:ascii="Times New Roman" w:hAnsi="Times New Roman" w:cs="Times New Roman"/>
          <w:sz w:val="24"/>
          <w:szCs w:val="24"/>
        </w:rPr>
        <w:t>Terminations for misconduct that are job related preclude a person from being eligible for unemployment benefits.  Plaintiff conceded that he had violated the biosecurity policy by using a restroom in the dirty area of the facility after having been in the clean area.  However, he contended that no harm had been caused by his violation because he had been terminated before reentering the clean area.  The Court noted, however, that harm to the employing unit must be measured in the context of potential harm, not in the context of actual harm.  In this case, had the supervisor not intervened, the Plaintiff would have reentered the clean area without showering.  This would have exposed the pigs to bacterial contaminants.  This potential harm was sufficient to constitute misconduct that was employment-related.  Thus, unemployment benefits were properly denied</w:t>
      </w:r>
      <w:r>
        <w:rPr>
          <w:rFonts w:ascii="Times New Roman" w:hAnsi="Times New Roman" w:cs="Times New Roman"/>
          <w:sz w:val="24"/>
          <w:szCs w:val="24"/>
        </w:rPr>
        <w:t xml:space="preserve">. </w:t>
      </w:r>
    </w:p>
    <w:p w:rsidR="00E34240" w:rsidRDefault="00E34240" w:rsidP="000010A7">
      <w:pPr>
        <w:pStyle w:val="NoSpacing"/>
        <w:ind w:left="1260" w:hanging="1260"/>
        <w:rPr>
          <w:rFonts w:ascii="Times New Roman" w:hAnsi="Times New Roman" w:cs="Times New Roman"/>
          <w:sz w:val="24"/>
          <w:szCs w:val="24"/>
        </w:rPr>
      </w:pPr>
    </w:p>
    <w:p w:rsidR="00034DA0" w:rsidRDefault="00034DA0" w:rsidP="00034DA0">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WORKERS’ COMPENSATION</w:t>
      </w:r>
    </w:p>
    <w:p w:rsidR="00034DA0" w:rsidRDefault="00034DA0" w:rsidP="00034DA0">
      <w:pPr>
        <w:pStyle w:val="NoSpacing"/>
        <w:ind w:left="1260" w:hanging="1260"/>
        <w:rPr>
          <w:rFonts w:ascii="Times New Roman" w:hAnsi="Times New Roman" w:cs="Times New Roman"/>
          <w:sz w:val="24"/>
          <w:szCs w:val="24"/>
        </w:rPr>
      </w:pPr>
    </w:p>
    <w:p w:rsidR="00034DA0" w:rsidRDefault="00034DA0" w:rsidP="00034DA0">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 Courts</w:t>
      </w:r>
    </w:p>
    <w:p w:rsidR="00034DA0" w:rsidRDefault="00034DA0" w:rsidP="00034DA0">
      <w:pPr>
        <w:pStyle w:val="NoSpacing"/>
        <w:ind w:left="1260" w:hanging="1260"/>
        <w:rPr>
          <w:rFonts w:ascii="Times New Roman" w:hAnsi="Times New Roman" w:cs="Times New Roman"/>
          <w:sz w:val="24"/>
          <w:szCs w:val="24"/>
        </w:rPr>
      </w:pPr>
    </w:p>
    <w:p w:rsidR="00034DA0" w:rsidRPr="000048F7" w:rsidRDefault="00034DA0" w:rsidP="00034DA0">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Compass Group</w:t>
      </w:r>
      <w:r w:rsidRPr="000048F7">
        <w:rPr>
          <w:rFonts w:ascii="Times New Roman" w:hAnsi="Times New Roman" w:cs="Times New Roman"/>
          <w:i/>
          <w:sz w:val="24"/>
          <w:szCs w:val="24"/>
          <w:u w:val="single"/>
        </w:rPr>
        <w:t xml:space="preserve"> v. Illinois Worker’s Compensation Commission</w:t>
      </w:r>
      <w:r>
        <w:rPr>
          <w:rFonts w:ascii="Times New Roman" w:hAnsi="Times New Roman" w:cs="Times New Roman"/>
          <w:sz w:val="24"/>
          <w:szCs w:val="24"/>
        </w:rPr>
        <w:t>, 2014 Ill. App 121283 (2</w:t>
      </w:r>
      <w:r w:rsidRPr="00034DA0">
        <w:rPr>
          <w:rFonts w:ascii="Times New Roman" w:hAnsi="Times New Roman" w:cs="Times New Roman"/>
          <w:sz w:val="24"/>
          <w:szCs w:val="24"/>
          <w:vertAlign w:val="superscript"/>
        </w:rPr>
        <w:t>nd</w:t>
      </w:r>
      <w:r>
        <w:rPr>
          <w:rFonts w:ascii="Times New Roman" w:hAnsi="Times New Roman" w:cs="Times New Roman"/>
          <w:sz w:val="24"/>
          <w:szCs w:val="24"/>
        </w:rPr>
        <w:t xml:space="preserve"> Dist., March 28, 2014)</w:t>
      </w:r>
    </w:p>
    <w:p w:rsidR="00034DA0" w:rsidRDefault="00034DA0" w:rsidP="00034DA0">
      <w:pPr>
        <w:pStyle w:val="NoSpacing"/>
        <w:ind w:left="1260" w:hanging="1260"/>
        <w:rPr>
          <w:rFonts w:ascii="Times New Roman" w:hAnsi="Times New Roman" w:cs="Times New Roman"/>
          <w:sz w:val="24"/>
          <w:szCs w:val="24"/>
        </w:rPr>
      </w:pPr>
    </w:p>
    <w:p w:rsidR="00034DA0" w:rsidRDefault="00034DA0" w:rsidP="00034DA0">
      <w:pPr>
        <w:pStyle w:val="NoSpacing"/>
        <w:ind w:left="1260" w:hanging="1260"/>
        <w:rPr>
          <w:rFonts w:ascii="Times New Roman" w:hAnsi="Times New Roman" w:cs="Times New Roman"/>
          <w:spacing w:val="-10"/>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Claimant injured his back while picking up a case of pop in the course of his employment.  He continued to work, although in considerable pain.  He continued to work over the next several days during which time he also received medical treatment.  Approximately one week later, while coming down a flight of stairs at home, his left foot gave way and he fell.  Although paramedics were called to his residence, he denied treatment and went to work instead.  He attempted to do paperwork most of the day, but eventually have into the pain and called an ambulance.  In addition to the original back pain, he also received treatment for abrasions to his head, knees, elbows and fingers.  X-rays confirmed bursitis in both elbows.  A blood test revealed a blood infection.  He was moved to ICU and he began bleeding in his gastrointestinal system.  Several other medical conditions developed in the hospital and he was eventually transferred to a long-term care facility.  </w:t>
      </w:r>
    </w:p>
    <w:p w:rsidR="00034DA0" w:rsidRDefault="00034DA0" w:rsidP="00034DA0">
      <w:pPr>
        <w:pStyle w:val="NoSpacing"/>
        <w:ind w:left="1260" w:hanging="1260"/>
        <w:rPr>
          <w:rFonts w:ascii="Times New Roman" w:hAnsi="Times New Roman" w:cs="Times New Roman"/>
          <w:spacing w:val="-10"/>
          <w:sz w:val="24"/>
          <w:szCs w:val="24"/>
        </w:rPr>
      </w:pPr>
    </w:p>
    <w:p w:rsidR="00034DA0" w:rsidRDefault="00034DA0" w:rsidP="00034DA0">
      <w:pPr>
        <w:pStyle w:val="NoSpacing"/>
        <w:ind w:left="1260" w:hanging="1260"/>
        <w:rPr>
          <w:rFonts w:ascii="Times New Roman" w:hAnsi="Times New Roman" w:cs="Times New Roman"/>
          <w:spacing w:val="-10"/>
          <w:sz w:val="24"/>
          <w:szCs w:val="24"/>
        </w:rPr>
      </w:pPr>
    </w:p>
    <w:p w:rsidR="00E34240" w:rsidRDefault="00034DA0" w:rsidP="00034DA0">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The Court initially deferred to the Commission as to the issue of causation.  Since there was no evidence to suggest that the blood infection had been long-standing, the Commission’s finding in support of causation was upheld.  All of the medical </w:t>
      </w:r>
      <w:r>
        <w:rPr>
          <w:rFonts w:ascii="Times New Roman" w:hAnsi="Times New Roman" w:cs="Times New Roman"/>
          <w:sz w:val="24"/>
          <w:szCs w:val="24"/>
        </w:rPr>
        <w:lastRenderedPageBreak/>
        <w:t xml:space="preserve">conditions and corresponding medical bills were causally connected to the original injury to claimant’s back.  Claimant also successfully argued that he should be entitled to compensation for modifications he made to his home that had been recommended by his physical therapist.  These included a chair lift and modifications to his bathroom.  The Court held that a physician’s order was not necessary, but that the recommendation of the physical therapist was sufficient. </w:t>
      </w:r>
    </w:p>
    <w:p w:rsidR="00034DA0" w:rsidRDefault="00034DA0" w:rsidP="00034DA0">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Submitted by: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Clayton L. Lindsey</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VP of Gov’t Affairs-R</w:t>
      </w:r>
      <w:r w:rsidR="00B13409">
        <w:rPr>
          <w:rFonts w:ascii="Times New Roman" w:hAnsi="Times New Roman" w:cs="Times New Roman"/>
          <w:sz w:val="24"/>
          <w:szCs w:val="24"/>
        </w:rPr>
        <w:t>A</w:t>
      </w:r>
      <w:bookmarkStart w:id="0" w:name="_GoBack"/>
      <w:bookmarkEnd w:id="0"/>
      <w:r>
        <w:rPr>
          <w:rFonts w:ascii="Times New Roman" w:hAnsi="Times New Roman" w:cs="Times New Roman"/>
          <w:sz w:val="24"/>
          <w:szCs w:val="24"/>
        </w:rPr>
        <w:t>SHRM</w:t>
      </w:r>
    </w:p>
    <w:p w:rsidR="00E34240" w:rsidRDefault="00E3424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Attorney at Law</w:t>
      </w:r>
    </w:p>
    <w:p w:rsidR="00E34240" w:rsidRDefault="00E34240"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sz w:val="24"/>
          <w:szCs w:val="24"/>
        </w:rPr>
        <w:t>WilliamsMcCarthyLLP</w:t>
      </w:r>
      <w:proofErr w:type="spellEnd"/>
    </w:p>
    <w:p w:rsidR="00E34240" w:rsidRDefault="00C57487" w:rsidP="000010A7">
      <w:pPr>
        <w:pStyle w:val="NoSpacing"/>
        <w:ind w:left="1260" w:hanging="1260"/>
        <w:rPr>
          <w:rFonts w:ascii="Times New Roman" w:hAnsi="Times New Roman" w:cs="Times New Roman"/>
          <w:sz w:val="24"/>
          <w:szCs w:val="24"/>
        </w:rPr>
      </w:pPr>
      <w:hyperlink r:id="rId7" w:history="1">
        <w:r w:rsidR="00E34240" w:rsidRPr="00190E49">
          <w:rPr>
            <w:rStyle w:val="Hyperlink"/>
            <w:rFonts w:ascii="Times New Roman" w:hAnsi="Times New Roman" w:cs="Times New Roman"/>
            <w:sz w:val="24"/>
            <w:szCs w:val="24"/>
          </w:rPr>
          <w:t>clindsey@wilmac.com</w:t>
        </w:r>
      </w:hyperlink>
      <w:r w:rsidR="00E34240">
        <w:rPr>
          <w:rFonts w:ascii="Times New Roman" w:hAnsi="Times New Roman" w:cs="Times New Roman"/>
          <w:sz w:val="24"/>
          <w:szCs w:val="24"/>
        </w:rPr>
        <w:t xml:space="preserve"> </w:t>
      </w:r>
    </w:p>
    <w:p w:rsidR="00E34240" w:rsidRPr="00E34240" w:rsidRDefault="00C57487"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B80B81" w:rsidRPr="00B80B81">
        <w:rPr>
          <w:rFonts w:ascii="Times New Roman" w:hAnsi="Times New Roman" w:cs="Times New Roman"/>
          <w:noProof/>
          <w:sz w:val="16"/>
          <w:szCs w:val="16"/>
        </w:rPr>
        <w:t>G:\Wpdocs_bev\CLL\R\RSHRM\april2014.docx</w:t>
      </w:r>
      <w:r>
        <w:rPr>
          <w:rFonts w:ascii="Times New Roman" w:hAnsi="Times New Roman" w:cs="Times New Roman"/>
          <w:noProof/>
          <w:sz w:val="16"/>
          <w:szCs w:val="16"/>
        </w:rPr>
        <w:fldChar w:fldCharType="end"/>
      </w:r>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87" w:rsidRDefault="00C57487" w:rsidP="00D02CA9">
      <w:pPr>
        <w:spacing w:after="0" w:line="240" w:lineRule="auto"/>
      </w:pPr>
      <w:r>
        <w:separator/>
      </w:r>
    </w:p>
  </w:endnote>
  <w:endnote w:type="continuationSeparator" w:id="0">
    <w:p w:rsidR="00C57487" w:rsidRDefault="00C57487"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8F631B" w:rsidRDefault="00C57487">
        <w:pPr>
          <w:pStyle w:val="Footer"/>
          <w:jc w:val="center"/>
        </w:pPr>
        <w:r>
          <w:fldChar w:fldCharType="begin"/>
        </w:r>
        <w:r>
          <w:instrText xml:space="preserve"> PAGE   \* MERGEFORMAT </w:instrText>
        </w:r>
        <w:r>
          <w:fldChar w:fldCharType="separate"/>
        </w:r>
        <w:r w:rsidR="00B13409">
          <w:rPr>
            <w:noProof/>
          </w:rPr>
          <w:t>2</w:t>
        </w:r>
        <w:r>
          <w:rPr>
            <w:noProof/>
          </w:rPr>
          <w:fldChar w:fldCharType="end"/>
        </w:r>
      </w:p>
    </w:sdtContent>
  </w:sdt>
  <w:p w:rsidR="008F631B" w:rsidRDefault="008F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87" w:rsidRDefault="00C57487" w:rsidP="00D02CA9">
      <w:pPr>
        <w:spacing w:after="0" w:line="240" w:lineRule="auto"/>
      </w:pPr>
      <w:r>
        <w:separator/>
      </w:r>
    </w:p>
  </w:footnote>
  <w:footnote w:type="continuationSeparator" w:id="0">
    <w:p w:rsidR="00C57487" w:rsidRDefault="00C57487"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4DA0"/>
    <w:rsid w:val="00036EDB"/>
    <w:rsid w:val="00163751"/>
    <w:rsid w:val="001D2DEF"/>
    <w:rsid w:val="003C607D"/>
    <w:rsid w:val="003F4DDE"/>
    <w:rsid w:val="0041031F"/>
    <w:rsid w:val="0044418C"/>
    <w:rsid w:val="0046045B"/>
    <w:rsid w:val="004B20DB"/>
    <w:rsid w:val="004B430A"/>
    <w:rsid w:val="00563E7F"/>
    <w:rsid w:val="005C49C9"/>
    <w:rsid w:val="00704221"/>
    <w:rsid w:val="0071381F"/>
    <w:rsid w:val="007215C8"/>
    <w:rsid w:val="0088161B"/>
    <w:rsid w:val="008F0F1E"/>
    <w:rsid w:val="008F631B"/>
    <w:rsid w:val="0097081E"/>
    <w:rsid w:val="0098258A"/>
    <w:rsid w:val="009F3C16"/>
    <w:rsid w:val="00A43BB8"/>
    <w:rsid w:val="00A77030"/>
    <w:rsid w:val="00AB6C27"/>
    <w:rsid w:val="00AE01BF"/>
    <w:rsid w:val="00B13409"/>
    <w:rsid w:val="00B221EC"/>
    <w:rsid w:val="00B5251A"/>
    <w:rsid w:val="00B80B81"/>
    <w:rsid w:val="00BC626B"/>
    <w:rsid w:val="00BD590B"/>
    <w:rsid w:val="00C272B3"/>
    <w:rsid w:val="00C41105"/>
    <w:rsid w:val="00C57487"/>
    <w:rsid w:val="00C6354E"/>
    <w:rsid w:val="00CB5487"/>
    <w:rsid w:val="00CF2AFA"/>
    <w:rsid w:val="00D02CA9"/>
    <w:rsid w:val="00D25F70"/>
    <w:rsid w:val="00DB005A"/>
    <w:rsid w:val="00E34240"/>
    <w:rsid w:val="00E50EE6"/>
    <w:rsid w:val="00E51E08"/>
    <w:rsid w:val="00E91267"/>
    <w:rsid w:val="00F02413"/>
    <w:rsid w:val="00F307D9"/>
    <w:rsid w:val="00F67329"/>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13</cp:revision>
  <cp:lastPrinted>2014-03-07T18:30:00Z</cp:lastPrinted>
  <dcterms:created xsi:type="dcterms:W3CDTF">2014-04-08T18:52:00Z</dcterms:created>
  <dcterms:modified xsi:type="dcterms:W3CDTF">2014-04-16T22:53:00Z</dcterms:modified>
</cp:coreProperties>
</file>